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BC82E">
      <w:pPr>
        <w:spacing w:before="1600" w:after="360"/>
        <w:jc w:val="center"/>
      </w:pPr>
      <w:r>
        <w:rPr>
          <w:rFonts w:ascii="Arial" w:hAnsi="Arial" w:eastAsia="黑体"/>
          <w:b/>
          <w:i w:val="0"/>
          <w:color w:val="17407A"/>
          <w:sz w:val="44"/>
        </w:rPr>
        <w:t>智能题库管理系统 · 佐证材料清单与现状盘点</w:t>
      </w:r>
    </w:p>
    <w:tbl>
      <w:tblPr>
        <w:tblStyle w:val="34"/>
        <w:tblW w:w="0" w:type="auto"/>
        <w:jc w:val="center"/>
        <w:tblBorders>
          <w:top w:val="single" w:color="C9D5E4" w:sz="4" w:space="0"/>
          <w:left w:val="single" w:color="C9D5E4" w:sz="4" w:space="0"/>
          <w:bottom w:val="single" w:color="C9D5E4" w:sz="4" w:space="0"/>
          <w:right w:val="single" w:color="C9D5E4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071"/>
      </w:tblGrid>
      <w:tr w14:paraId="1E854B80">
        <w:tblPrEx>
          <w:tblBorders>
            <w:top w:val="single" w:color="C9D5E4" w:sz="4" w:space="0"/>
            <w:left w:val="single" w:color="C9D5E4" w:sz="4" w:space="0"/>
            <w:bottom w:val="single" w:color="C9D5E4" w:sz="4" w:space="0"/>
            <w:right w:val="single" w:color="C9D5E4" w:sz="4" w:space="0"/>
            <w:insideH w:val="none" w:color="FFFFFF" w:sz="0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9071" w:type="dxa"/>
            <w:shd w:val="clear" w:color="auto" w:fill="F2F6FA"/>
          </w:tcPr>
          <w:p w14:paraId="0EC6622C">
            <w:pPr>
              <w:spacing w:after="20" w:line="312" w:lineRule="auto"/>
              <w:jc w:val="center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用途：专利、软件著作权、检测报告、合作协议等申报佐证材料的如实盘点与准备计划。</w:t>
            </w:r>
          </w:p>
          <w:p w14:paraId="722412C1">
            <w:pPr>
              <w:spacing w:after="20" w:line="312" w:lineRule="auto"/>
              <w:jc w:val="center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口径日期：2026-09-09；仓库 HEAD `1e628d8`；版本 v1.3.0（正式版）。</w:t>
            </w:r>
          </w:p>
          <w:p w14:paraId="073E4AAB">
            <w:pPr>
              <w:spacing w:after="20" w:line="312" w:lineRule="auto"/>
              <w:jc w:val="center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纪律：本文严格区分“已有（事实可核查）”与“未取得/规划中”。未取得项不得在申报材料中写成已取得；本文中的建议与计划用于团队内部推进，不直接作为对外成果材料。</w:t>
            </w:r>
          </w:p>
        </w:tc>
      </w:tr>
    </w:tbl>
    <w:p w14:paraId="32C50145">
      <w:r>
        <w:br w:type="page"/>
      </w:r>
    </w:p>
    <w:p w14:paraId="2F7CBA65">
      <w:pPr>
        <w:spacing w:after="200"/>
        <w:jc w:val="center"/>
      </w:pPr>
      <w:r>
        <w:rPr>
          <w:rFonts w:ascii="Arial" w:hAnsi="Arial" w:eastAsia="黑体"/>
          <w:b/>
          <w:i w:val="0"/>
          <w:color w:val="17407A"/>
          <w:sz w:val="32"/>
        </w:rPr>
        <w:t>目  录</w:t>
      </w:r>
    </w:p>
    <w:p w14:paraId="31A27DDC">
      <w:pPr>
        <w:pStyle w:val="26"/>
        <w:tabs>
          <w:tab w:val="right" w:leader="dot" w:pos="9071"/>
        </w:tabs>
      </w:pPr>
      <w:r>
        <w:rPr>
          <w:rFonts w:ascii="Times New Roman" w:hAnsi="Times New Roman" w:eastAsia="宋体"/>
          <w:b w:val="0"/>
          <w:i w:val="0"/>
          <w:sz w:val="20"/>
        </w:rPr>
        <w:fldChar w:fldCharType="begin"/>
      </w:r>
      <w:r>
        <w:rPr>
          <w:rFonts w:ascii="Times New Roman" w:hAnsi="Times New Roman" w:eastAsia="宋体"/>
          <w:b w:val="0"/>
          <w:i w:val="0"/>
          <w:sz w:val="20"/>
        </w:rPr>
        <w:instrText xml:space="preserve"> TOC \o "1-3" \h \z \u </w:instrText>
      </w:r>
      <w:r>
        <w:rPr>
          <w:rFonts w:ascii="Times New Roman" w:hAnsi="Times New Roman" w:eastAsia="宋体"/>
          <w:b w:val="0"/>
          <w:i w:val="0"/>
          <w:sz w:val="20"/>
        </w:rPr>
        <w:fldChar w:fldCharType="separate"/>
      </w: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_Toc125524025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一、已有材料（可核查事实，可直接作为佐证）</w:t>
      </w:r>
      <w:r>
        <w:tab/>
      </w:r>
      <w:r>
        <w:fldChar w:fldCharType="begin"/>
      </w:r>
      <w:r>
        <w:instrText xml:space="preserve"> PAGEREF _Toc125524025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42A95707">
      <w:pPr>
        <w:pStyle w:val="26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_Toc24240299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二、未取得材料（如实为“无”，附获取路径与条件）</w:t>
      </w:r>
      <w:r>
        <w:tab/>
      </w:r>
      <w:r>
        <w:fldChar w:fldCharType="begin"/>
      </w:r>
      <w:r>
        <w:instrText xml:space="preserve"> PAGEREF _Toc24240299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05EB50BD">
      <w:pPr>
        <w:pStyle w:val="29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_Toc315794674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2.1 计算机软件著作权（无 → 可申请）</w:t>
      </w:r>
      <w:r>
        <w:tab/>
      </w:r>
      <w:r>
        <w:fldChar w:fldCharType="begin"/>
      </w:r>
      <w:r>
        <w:instrText xml:space="preserve"> PAGEREF _Toc315794674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5B885BB3">
      <w:pPr>
        <w:pStyle w:val="29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_Toc583133280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2.2 专利（无 → 需先评估，不建议仓促申请）</w:t>
      </w:r>
      <w:r>
        <w:tab/>
      </w:r>
      <w:r>
        <w:fldChar w:fldCharType="begin"/>
      </w:r>
      <w:r>
        <w:instrText xml:space="preserve"> PAGEREF _Toc583133280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5494F76F">
      <w:pPr>
        <w:pStyle w:val="29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_Toc123725313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2.3 第三方检测/测评报告（无 → 可选做）</w:t>
      </w:r>
      <w:r>
        <w:tab/>
      </w:r>
      <w:r>
        <w:fldChar w:fldCharType="begin"/>
      </w:r>
      <w:r>
        <w:instrText xml:space="preserve"> PAGEREF _Toc123725313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18C85D6A">
      <w:pPr>
        <w:pStyle w:val="29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_Toc1030718166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2.4 合作协议 / 试点单位证明（无 → 需实际开展）</w:t>
      </w:r>
      <w:r>
        <w:tab/>
      </w:r>
      <w:r>
        <w:fldChar w:fldCharType="begin"/>
      </w:r>
      <w:r>
        <w:instrText xml:space="preserve"> PAGEREF _Toc1030718166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4EEB258A">
      <w:pPr>
        <w:pStyle w:val="29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_Toc1026993666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2.5 经营主体与运营资质（无 → 视规划决定）</w:t>
      </w:r>
      <w:r>
        <w:tab/>
      </w:r>
      <w:r>
        <w:fldChar w:fldCharType="begin"/>
      </w:r>
      <w:r>
        <w:instrText xml:space="preserve"> PAGEREF _Toc1026993666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5B4F58D8">
      <w:pPr>
        <w:pStyle w:val="29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_Toc767803790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2.6 获奖/竞赛证明（以实际为准）</w:t>
      </w:r>
      <w:r>
        <w:tab/>
      </w:r>
      <w:r>
        <w:fldChar w:fldCharType="begin"/>
      </w:r>
      <w:r>
        <w:instrText xml:space="preserve"> PAGEREF _Toc767803790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7F525FB8">
      <w:pPr>
        <w:pStyle w:val="29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_Toc1072808585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2.7 用户规模与运营数据（以实际为准）</w:t>
      </w:r>
      <w:r>
        <w:tab/>
      </w:r>
      <w:r>
        <w:fldChar w:fldCharType="begin"/>
      </w:r>
      <w:r>
        <w:instrText xml:space="preserve"> PAGEREF _Toc1072808585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20839CC6">
      <w:pPr>
        <w:pStyle w:val="26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_Toc2043526746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三、申报一致性自查清单（提交任何申报材料前逐项核对）</w:t>
      </w:r>
      <w:r>
        <w:tab/>
      </w:r>
      <w:r>
        <w:fldChar w:fldCharType="begin"/>
      </w:r>
      <w:r>
        <w:instrText xml:space="preserve"> PAGEREF _Toc2043526746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669B9FE8">
      <w:pPr>
        <w:pStyle w:val="26"/>
        <w:tabs>
          <w:tab w:val="right" w:leader="dot" w:pos="9071"/>
        </w:tabs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_Toc885601090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四、推进表（内部用，占位）</w:t>
      </w:r>
      <w:r>
        <w:tab/>
      </w:r>
      <w:r>
        <w:fldChar w:fldCharType="begin"/>
      </w:r>
      <w:r>
        <w:instrText xml:space="preserve"> PAGEREF _Toc885601090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2153F7DB">
      <w:r>
        <w:rPr>
          <w:rFonts w:ascii="Times New Roman" w:hAnsi="Times New Roman" w:eastAsia="宋体"/>
          <w:i w:val="0"/>
        </w:rPr>
        <w:fldChar w:fldCharType="end"/>
      </w:r>
    </w:p>
    <w:p w14:paraId="79A704F3">
      <w:r>
        <w:rPr>
          <w:rFonts w:ascii="Times New Roman" w:hAnsi="Times New Roman" w:eastAsia="宋体"/>
          <w:b w:val="0"/>
          <w:i w:val="0"/>
          <w:color w:val="8A94A6"/>
          <w:sz w:val="18"/>
        </w:rPr>
        <w:t>提示：如文档打开时未自动刷新目录，全选后按 F9 即可；页码以 Word 实际排版为准。</w:t>
      </w:r>
    </w:p>
    <w:p w14:paraId="7FF5C543">
      <w:r>
        <w:br w:type="page"/>
      </w:r>
    </w:p>
    <w:p w14:paraId="6261425C">
      <w:pPr>
        <w:pBdr>
          <w:bottom w:val="single" w:color="C9D5E4" w:sz="4" w:space="1"/>
        </w:pBdr>
        <w:spacing w:before="120" w:after="120"/>
      </w:pPr>
    </w:p>
    <w:p w14:paraId="2653916B">
      <w:pPr>
        <w:pStyle w:val="3"/>
      </w:pPr>
      <w:bookmarkStart w:id="0" w:name="_Toc125524025"/>
      <w:r>
        <w:rPr>
          <w:rFonts w:ascii="Times New Roman" w:hAnsi="Times New Roman" w:eastAsia="宋体"/>
          <w:b/>
        </w:rPr>
        <w:t>一、已有材料（可核查事实，可直接作为佐证）</w:t>
      </w:r>
      <w:bookmarkEnd w:id="0"/>
    </w:p>
    <w:tbl>
      <w:tblPr>
        <w:tblStyle w:val="35"/>
        <w:tblW w:w="0" w:type="auto"/>
        <w:jc w:val="center"/>
        <w:tblBorders>
          <w:top w:val="single" w:color="17407A" w:sz="12" w:space="0"/>
          <w:left w:val="none" w:color="FFFFFF" w:sz="0" w:space="0"/>
          <w:bottom w:val="single" w:color="17407A" w:sz="12" w:space="0"/>
          <w:right w:val="none" w:color="FFFFFF" w:sz="0" w:space="0"/>
          <w:insideH w:val="single" w:color="C9D5E4" w:sz="4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957"/>
        <w:gridCol w:w="1958"/>
        <w:gridCol w:w="1987"/>
        <w:gridCol w:w="3369"/>
      </w:tblGrid>
      <w:tr w14:paraId="1F4342DD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  <w:jc w:val="center"/>
        </w:trPr>
        <w:tc>
          <w:tcPr>
            <w:tcW w:w="2268" w:type="dxa"/>
            <w:tcBorders>
              <w:bottom w:val="single" w:color="17407A" w:sz="8" w:space="0"/>
            </w:tcBorders>
            <w:shd w:val="clear" w:color="auto" w:fill="EAF1F9"/>
          </w:tcPr>
          <w:p w14:paraId="065DF450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w="2268" w:type="dxa"/>
            <w:tcBorders>
              <w:bottom w:val="single" w:color="17407A" w:sz="8" w:space="0"/>
            </w:tcBorders>
            <w:shd w:val="clear" w:color="auto" w:fill="EAF1F9"/>
          </w:tcPr>
          <w:p w14:paraId="05DAE432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材料</w:t>
            </w:r>
          </w:p>
        </w:tc>
        <w:tc>
          <w:tcPr>
            <w:tcW w:w="2268" w:type="dxa"/>
            <w:tcBorders>
              <w:bottom w:val="single" w:color="17407A" w:sz="8" w:space="0"/>
            </w:tcBorders>
            <w:shd w:val="clear" w:color="auto" w:fill="EAF1F9"/>
          </w:tcPr>
          <w:p w14:paraId="4DF137DF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  <w:tc>
          <w:tcPr>
            <w:tcW w:w="2268" w:type="dxa"/>
            <w:tcBorders>
              <w:bottom w:val="single" w:color="17407A" w:sz="8" w:space="0"/>
            </w:tcBorders>
            <w:shd w:val="clear" w:color="auto" w:fill="EAF1F9"/>
          </w:tcPr>
          <w:p w14:paraId="693584FA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证据内容与位置</w:t>
            </w:r>
          </w:p>
        </w:tc>
      </w:tr>
      <w:tr w14:paraId="30EA09B0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2268" w:type="dxa"/>
          </w:tcPr>
          <w:p w14:paraId="158FCC4B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268" w:type="dxa"/>
          </w:tcPr>
          <w:p w14:paraId="4FB4431B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开源代码仓库</w:t>
            </w:r>
          </w:p>
        </w:tc>
        <w:tc>
          <w:tcPr>
            <w:tcW w:w="2268" w:type="dxa"/>
          </w:tcPr>
          <w:p w14:paraId="46B8B5A9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</w:t>
            </w:r>
          </w:p>
        </w:tc>
        <w:tc>
          <w:tcPr>
            <w:tcW w:w="2268" w:type="dxa"/>
          </w:tcPr>
          <w:p w14:paraId="2FD98983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GitHub 公开仓库 github.com/Han-Haocheng/IntelligentQuestionBank；100 次提交；README/CHANGELOG/AGENTS 等文档齐全</w:t>
            </w:r>
          </w:p>
        </w:tc>
      </w:tr>
      <w:tr w14:paraId="53614AC0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2268" w:type="dxa"/>
            <w:shd w:val="clear" w:color="auto" w:fill="F8FAFD"/>
          </w:tcPr>
          <w:p w14:paraId="30F43537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268" w:type="dxa"/>
            <w:shd w:val="clear" w:color="auto" w:fill="F8FAFD"/>
          </w:tcPr>
          <w:p w14:paraId="7C9A3E77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版本发布记录</w:t>
            </w:r>
          </w:p>
        </w:tc>
        <w:tc>
          <w:tcPr>
            <w:tcW w:w="2268" w:type="dxa"/>
            <w:shd w:val="clear" w:color="auto" w:fill="F8FAFD"/>
          </w:tcPr>
          <w:p w14:paraId="64D2068C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</w:t>
            </w:r>
          </w:p>
        </w:tc>
        <w:tc>
          <w:tcPr>
            <w:tcW w:w="2268" w:type="dxa"/>
            <w:shd w:val="clear" w:color="auto" w:fill="F8FAFD"/>
          </w:tcPr>
          <w:p w14:paraId="320400E2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 个 Release：v1.0.0、v1.0.1、v1.0.2、v1.1.0、v1.1.1、v1.1.2、v1.2.0、v1.3.0-beta.1、v1.3.0（2026-08-29 ~ 2026-09-09，发布页可查发布日期与资产）</w:t>
            </w:r>
          </w:p>
        </w:tc>
      </w:tr>
      <w:tr w14:paraId="08EAEFCF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2268" w:type="dxa"/>
          </w:tcPr>
          <w:p w14:paraId="0AB8F40B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268" w:type="dxa"/>
          </w:tcPr>
          <w:p w14:paraId="41F77847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可运行交付物</w:t>
            </w:r>
            <w:bookmarkStart w:id="11" w:name="_GoBack"/>
            <w:bookmarkEnd w:id="11"/>
          </w:p>
        </w:tc>
        <w:tc>
          <w:tcPr>
            <w:tcW w:w="2268" w:type="dxa"/>
          </w:tcPr>
          <w:p w14:paraId="649540A7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</w:t>
            </w:r>
          </w:p>
        </w:tc>
        <w:tc>
          <w:tcPr>
            <w:tcW w:w="2268" w:type="dxa"/>
          </w:tcPr>
          <w:p w14:paraId="4DB98496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最新 Release（v1.3.0 正式版，非 prerelease）资产：Windows 安装包 qbank-desktop-win-1.3.0-x64.exe（约 92 MB）、macOS dmg（x64/arm64 约 117~121 MB）、Linux deb/AppImage（约 98/127 MB）、后端 qbank-backend-1.3.0.jar（约 45 MB）、服务端渲染版 qbank-web-ssr-1.3.0.jar（约 28 MB，v1.3.0 起新增）、网页版 qbank-web-1.3.0.zip（约 0.5 MB）；下载页 https://github.com/Han-Haocheng/IntelligentQuestionBank/releases</w:t>
            </w:r>
          </w:p>
        </w:tc>
      </w:tr>
      <w:tr w14:paraId="6C361FE9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2268" w:type="dxa"/>
            <w:shd w:val="clear" w:color="auto" w:fill="F8FAFD"/>
          </w:tcPr>
          <w:p w14:paraId="606B1510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268" w:type="dxa"/>
            <w:shd w:val="clear" w:color="auto" w:fill="F8FAFD"/>
          </w:tcPr>
          <w:p w14:paraId="515F8DE3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单元测试</w:t>
            </w:r>
          </w:p>
        </w:tc>
        <w:tc>
          <w:tcPr>
            <w:tcW w:w="2268" w:type="dxa"/>
            <w:shd w:val="clear" w:color="auto" w:fill="F8FAFD"/>
          </w:tcPr>
          <w:p w14:paraId="6853460C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</w:t>
            </w:r>
          </w:p>
        </w:tc>
        <w:tc>
          <w:tcPr>
            <w:tcW w:w="2268" w:type="dxa"/>
            <w:shd w:val="clear" w:color="auto" w:fill="F8FAFD"/>
          </w:tcPr>
          <w:p w14:paraId="2C4FB861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后端 17 个测试类 / 193 个测试方法（backend/src/test，覆盖 service 与 util），可运行 </w:t>
            </w:r>
            <w:r>
              <w:rPr>
                <w:rFonts w:ascii="Consolas" w:hAnsi="Consolas" w:eastAsia="宋体" w:cs="Consolas"/>
                <w:b w:val="0"/>
                <w:sz w:val="18"/>
                <w:shd w:val="clear" w:color="auto" w:fill="F1F4F8"/>
              </w:rPr>
              <w:t>mvn test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复现</w:t>
            </w:r>
          </w:p>
        </w:tc>
      </w:tr>
      <w:tr w14:paraId="47725248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2268" w:type="dxa"/>
          </w:tcPr>
          <w:p w14:paraId="1621D49D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2268" w:type="dxa"/>
          </w:tcPr>
          <w:p w14:paraId="14263591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自动化构建与发布流水线</w:t>
            </w:r>
          </w:p>
        </w:tc>
        <w:tc>
          <w:tcPr>
            <w:tcW w:w="2268" w:type="dxa"/>
          </w:tcPr>
          <w:p w14:paraId="1A08E0A6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</w:t>
            </w:r>
          </w:p>
        </w:tc>
        <w:tc>
          <w:tcPr>
            <w:tcW w:w="2268" w:type="dxa"/>
          </w:tcPr>
          <w:p w14:paraId="1D60B1ED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.github/workflows/ 三条工作流：release.yml（标签触发，矩阵构建三平台产物并发布 Release）、beta-release.yml（dev 满 10 提交自动跟进 beta）、formal-release.yml（正式版一键发布）；Actions 运行记录可查</w:t>
            </w:r>
          </w:p>
        </w:tc>
      </w:tr>
      <w:tr w14:paraId="406959F5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2268" w:type="dxa"/>
            <w:shd w:val="clear" w:color="auto" w:fill="F8FAFD"/>
          </w:tcPr>
          <w:p w14:paraId="2F4EFB77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2268" w:type="dxa"/>
            <w:shd w:val="clear" w:color="auto" w:fill="F8FAFD"/>
          </w:tcPr>
          <w:p w14:paraId="0A104224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数据库工程化证据</w:t>
            </w:r>
          </w:p>
        </w:tc>
        <w:tc>
          <w:tcPr>
            <w:tcW w:w="2268" w:type="dxa"/>
            <w:shd w:val="clear" w:color="auto" w:fill="F8FAFD"/>
          </w:tcPr>
          <w:p w14:paraId="5BFADF86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</w:t>
            </w:r>
          </w:p>
        </w:tc>
        <w:tc>
          <w:tcPr>
            <w:tcW w:w="2268" w:type="dxa"/>
            <w:shd w:val="clear" w:color="auto" w:fill="F8FAFD"/>
          </w:tcPr>
          <w:p w14:paraId="0BE7C42E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db/init.sql（一键初始化、12 张表、幂等可重跑）、db/upgrade.sql（存量升级，含废弃 AI 表移除）；可用 mysql 导入复现</w:t>
            </w:r>
          </w:p>
        </w:tc>
      </w:tr>
      <w:tr w14:paraId="046BA7C4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2268" w:type="dxa"/>
          </w:tcPr>
          <w:p w14:paraId="4A8E1C4A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2268" w:type="dxa"/>
          </w:tcPr>
          <w:p w14:paraId="5943A456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文档体系</w:t>
            </w:r>
          </w:p>
        </w:tc>
        <w:tc>
          <w:tcPr>
            <w:tcW w:w="2268" w:type="dxa"/>
          </w:tcPr>
          <w:p w14:paraId="235D3C18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</w:t>
            </w:r>
          </w:p>
        </w:tc>
        <w:tc>
          <w:tcPr>
            <w:tcW w:w="2268" w:type="dxa"/>
          </w:tcPr>
          <w:p w14:paraId="1711E710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README.MD（功能/API/部署/FAQ）、CHANGELOG.md（逐版本变更）、PROJECT_INTRO.txt、backend/src/main/resources/AI-CONFIG.md、本 docs/ 目录</w:t>
            </w:r>
          </w:p>
        </w:tc>
      </w:tr>
      <w:tr w14:paraId="45788627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2268" w:type="dxa"/>
            <w:shd w:val="clear" w:color="auto" w:fill="F8FAFD"/>
          </w:tcPr>
          <w:p w14:paraId="7D16EDD8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2268" w:type="dxa"/>
            <w:shd w:val="clear" w:color="auto" w:fill="F8FAFD"/>
          </w:tcPr>
          <w:p w14:paraId="2FFB7BAB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开源许可</w:t>
            </w:r>
          </w:p>
        </w:tc>
        <w:tc>
          <w:tcPr>
            <w:tcW w:w="2268" w:type="dxa"/>
            <w:shd w:val="clear" w:color="auto" w:fill="F8FAFD"/>
          </w:tcPr>
          <w:p w14:paraId="4D5D1405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</w:t>
            </w:r>
          </w:p>
        </w:tc>
        <w:tc>
          <w:tcPr>
            <w:tcW w:w="2268" w:type="dxa"/>
            <w:shd w:val="clear" w:color="auto" w:fill="F8FAFD"/>
          </w:tcPr>
          <w:p w14:paraId="3962C9CB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MIT License（LICENSE，版权人 Han-Haocheng）</w:t>
            </w:r>
          </w:p>
        </w:tc>
      </w:tr>
      <w:tr w14:paraId="1E9CFF02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2268" w:type="dxa"/>
          </w:tcPr>
          <w:p w14:paraId="29089755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2268" w:type="dxa"/>
          </w:tcPr>
          <w:p w14:paraId="733636E3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技术专项说明</w:t>
            </w:r>
          </w:p>
        </w:tc>
        <w:tc>
          <w:tcPr>
            <w:tcW w:w="2268" w:type="dxa"/>
          </w:tcPr>
          <w:p w14:paraId="41EFFFA0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已有（本次新增）</w:t>
            </w:r>
          </w:p>
        </w:tc>
        <w:tc>
          <w:tcPr>
            <w:tcW w:w="2268" w:type="dxa"/>
          </w:tcPr>
          <w:p w14:paraId="6BF44029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docs/03-AI技术应用说明.md（AI 介入环境/数据合法性/可解释性/伦理风险评估）</w:t>
            </w:r>
          </w:p>
        </w:tc>
      </w:tr>
      <w:tr w14:paraId="1E167E31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2268" w:type="dxa"/>
            <w:shd w:val="clear" w:color="auto" w:fill="F8FAFD"/>
          </w:tcPr>
          <w:p w14:paraId="7B13F85C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2268" w:type="dxa"/>
            <w:shd w:val="clear" w:color="auto" w:fill="F8FAFD"/>
          </w:tcPr>
          <w:p w14:paraId="7AD50DEE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商业与演示文案</w:t>
            </w:r>
          </w:p>
        </w:tc>
        <w:tc>
          <w:tcPr>
            <w:tcW w:w="2268" w:type="dxa"/>
            <w:shd w:val="clear" w:color="auto" w:fill="F8FAFD"/>
          </w:tcPr>
          <w:p w14:paraId="3B125CF8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✅ 已有（本次新增）</w:t>
            </w:r>
          </w:p>
        </w:tc>
        <w:tc>
          <w:tcPr>
            <w:tcW w:w="2268" w:type="dxa"/>
            <w:shd w:val="clear" w:color="auto" w:fill="F8FAFD"/>
          </w:tcPr>
          <w:p w14:paraId="4D85A607"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docs/01-商业计划书.md、docs/02-演示PPT文案.md</w:t>
            </w:r>
          </w:p>
        </w:tc>
      </w:tr>
    </w:tbl>
    <w:p w14:paraId="763A772C">
      <w:pPr>
        <w:pBdr>
          <w:left w:val="single" w:color="34618F" w:sz="18" w:space="4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 w:type="textWrapping"/>
      </w:r>
    </w:p>
    <w:p w14:paraId="0177B42F">
      <w:pPr>
        <w:pBdr>
          <w:left w:val="single" w:color="34618F" w:sz="18" w:space="4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t>说明：仓库“开源指标”（Star/Fork/克隆数等）未在本清单采集</w:t>
      </w:r>
    </w:p>
    <w:p w14:paraId="0CA4D549">
      <w:pPr>
        <w:pBdr>
          <w:left w:val="single" w:color="34618F" w:sz="18" w:space="4"/>
        </w:pBdr>
        <w:shd w:val="clear" w:color="auto" w:fill="F2F6FA"/>
        <w:spacing w:after="40"/>
        <w:ind w:left="340"/>
        <w:jc w:val="both"/>
      </w:pPr>
      <w:r>
        <w:rPr>
          <w:rFonts w:ascii="Times New Roman" w:hAnsi="Times New Roman" w:eastAsia="宋体"/>
        </w:rPr>
        <w:br w:type="textWrapping"/>
      </w:r>
    </w:p>
    <w:p w14:paraId="0A5E3CDC">
      <w:pPr>
        <w:pBdr>
          <w:bottom w:val="single" w:color="C9D5E4" w:sz="4" w:space="1"/>
        </w:pBdr>
        <w:spacing w:before="120" w:after="120"/>
      </w:pPr>
    </w:p>
    <w:p w14:paraId="0E9CBE98">
      <w:pPr>
        <w:pStyle w:val="3"/>
      </w:pPr>
      <w:bookmarkStart w:id="1" w:name="_Toc24240299"/>
      <w:r>
        <w:rPr>
          <w:rFonts w:ascii="Times New Roman" w:hAnsi="Times New Roman" w:eastAsia="宋体"/>
          <w:b/>
        </w:rPr>
        <w:t>二、未取得材料（如实为“无”，附获取路径与条件）</w:t>
      </w:r>
      <w:bookmarkEnd w:id="1"/>
    </w:p>
    <w:p w14:paraId="4A0C3B82">
      <w:pPr>
        <w:pStyle w:val="4"/>
      </w:pPr>
      <w:bookmarkStart w:id="2" w:name="_Toc315794674"/>
      <w:r>
        <w:rPr>
          <w:rFonts w:ascii="Times New Roman" w:hAnsi="Times New Roman" w:eastAsia="宋体"/>
          <w:b/>
        </w:rPr>
        <w:t>2.1 计算机软件著作权（无 → 可申请）</w:t>
      </w:r>
      <w:bookmarkEnd w:id="2"/>
    </w:p>
    <w:p w14:paraId="4AF26EE6">
      <w:pPr>
        <w:pStyle w:val="16"/>
        <w:spacing w:after="40"/>
      </w:pPr>
      <w:r>
        <w:rPr>
          <w:rFonts w:ascii="Times New Roman" w:hAnsi="Times New Roman" w:eastAsia="宋体"/>
          <w:b/>
        </w:rPr>
        <w:t>现状</w:t>
      </w:r>
      <w:r>
        <w:rPr>
          <w:rFonts w:ascii="Times New Roman" w:hAnsi="Times New Roman" w:eastAsia="宋体"/>
        </w:rPr>
        <w:t>：未申请，无登记号。</w:t>
      </w:r>
    </w:p>
    <w:p w14:paraId="6B18BA02">
      <w:pPr>
        <w:pStyle w:val="16"/>
        <w:spacing w:after="40"/>
      </w:pPr>
      <w:r>
        <w:rPr>
          <w:rFonts w:ascii="Times New Roman" w:hAnsi="Times New Roman" w:eastAsia="宋体"/>
          <w:b/>
        </w:rPr>
        <w:t>价值</w:t>
      </w:r>
      <w:r>
        <w:rPr>
          <w:rFonts w:ascii="Times New Roman" w:hAnsi="Times New Roman" w:eastAsia="宋体"/>
        </w:rPr>
        <w:t>：软件类竞赛/学校科研认定的常见佐证；费用低（国家版权局登记官费免费/极低，代办除外）。</w:t>
      </w:r>
    </w:p>
    <w:p w14:paraId="237B9C76">
      <w:pPr>
        <w:pStyle w:val="16"/>
        <w:spacing w:after="40"/>
      </w:pPr>
      <w:r>
        <w:rPr>
          <w:rFonts w:ascii="Times New Roman" w:hAnsi="Times New Roman" w:eastAsia="宋体"/>
          <w:b/>
        </w:rPr>
        <w:t>获取路径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1. 明确权利主体：个人/团队名义还是学校名义，需先确认（在校生以学校名义申报常需学校科技处/教务处流程，版权归属与署名顺序提前约定）【占位：与学校确认】；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2. 准备材料：软件全称与简称、版本号（直接使用已发布的 v1.3.0 正式版）、源代码（前后各 30 页，共 60 页，每页 50 行内）、软件说明书（可复用 README/本批文档）；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3. 通过中国版权保护中心（ccopyright.com.cn）在线提交，审查周期通常 30~60 个工作日（加急另计）【周期占位】；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4. 注意：申请版本号与当前发布版本一致更稳妥；第三方开源组件（Vue/Spring 等）不在申报代码范围内选择时注意避免整段拷贝组件源码。</w:t>
      </w:r>
    </w:p>
    <w:p w14:paraId="1DDD5F81">
      <w:pPr>
        <w:pStyle w:val="16"/>
        <w:spacing w:after="40"/>
      </w:pPr>
      <w:r>
        <w:rPr>
          <w:rFonts w:ascii="Times New Roman" w:hAnsi="Times New Roman" w:eastAsia="宋体"/>
          <w:b/>
        </w:rPr>
        <w:t>负责人/时间</w:t>
      </w:r>
      <w:r>
        <w:rPr>
          <w:rFonts w:ascii="Times New Roman" w:hAnsi="Times New Roman" w:eastAsia="宋体"/>
        </w:rPr>
        <w:t>：【占位】</w:t>
      </w:r>
    </w:p>
    <w:p w14:paraId="14B58F66">
      <w:pPr>
        <w:pStyle w:val="4"/>
      </w:pPr>
      <w:bookmarkStart w:id="3" w:name="_Toc583133280"/>
      <w:r>
        <w:rPr>
          <w:rFonts w:ascii="Times New Roman" w:hAnsi="Times New Roman" w:eastAsia="宋体"/>
          <w:b/>
        </w:rPr>
        <w:t>2.2 专利（无 → 需先评估，不建议仓促申请）</w:t>
      </w:r>
      <w:bookmarkEnd w:id="3"/>
    </w:p>
    <w:p w14:paraId="78C2BF0D">
      <w:pPr>
        <w:pStyle w:val="16"/>
        <w:spacing w:after="40"/>
      </w:pPr>
      <w:r>
        <w:rPr>
          <w:rFonts w:ascii="Times New Roman" w:hAnsi="Times New Roman" w:eastAsia="宋体"/>
          <w:b/>
        </w:rPr>
        <w:t>现状</w:t>
      </w:r>
      <w:r>
        <w:rPr>
          <w:rFonts w:ascii="Times New Roman" w:hAnsi="Times New Roman" w:eastAsia="宋体"/>
        </w:rPr>
        <w:t>：未申请任何专利。</w:t>
      </w:r>
    </w:p>
    <w:p w14:paraId="4FB0A924">
      <w:pPr>
        <w:pStyle w:val="16"/>
        <w:spacing w:after="40"/>
      </w:pPr>
      <w:r>
        <w:rPr>
          <w:rFonts w:ascii="Times New Roman" w:hAnsi="Times New Roman" w:eastAsia="宋体"/>
          <w:b/>
        </w:rPr>
        <w:t>客观提示</w:t>
      </w:r>
      <w:r>
        <w:rPr>
          <w:rFonts w:ascii="Times New Roman" w:hAnsi="Times New Roman" w:eastAsia="宋体"/>
        </w:rPr>
        <w:t>：本项目为典型的业务系统实现，主要创新在</w:t>
      </w:r>
      <w:r>
        <w:rPr>
          <w:rFonts w:ascii="Times New Roman" w:hAnsi="Times New Roman" w:eastAsia="宋体"/>
          <w:b/>
        </w:rPr>
        <w:t>产品组合与工程实现</w:t>
      </w:r>
      <w:r>
        <w:rPr>
          <w:rFonts w:ascii="Times New Roman" w:hAnsi="Times New Roman" w:eastAsia="宋体"/>
        </w:rPr>
        <w:t>层面，直接申请发明专利通过率低、周期长（发明 1.5~3 年），实用新型对软件系统通常不适用；不建议为申报而强申。</w:t>
      </w:r>
    </w:p>
    <w:p w14:paraId="4254701E">
      <w:pPr>
        <w:pStyle w:val="16"/>
        <w:spacing w:after="40"/>
      </w:pPr>
      <w:r>
        <w:rPr>
          <w:rFonts w:ascii="Times New Roman" w:hAnsi="Times New Roman" w:eastAsia="宋体"/>
          <w:b/>
        </w:rPr>
        <w:t>候选方向（仅作内部讨论，需先做专利检索判断新颖性，不得提前对外宣称“有专利”）</w:t>
      </w:r>
      <w:r>
        <w:rPr>
          <w:rFonts w:ascii="Times New Roman" w:hAnsi="Times New Roman" w:eastAsia="宋体"/>
        </w:rPr>
        <w:t>：</w:t>
      </w:r>
    </w:p>
    <w:p w14:paraId="2EF8F60B">
      <w:pPr>
        <w:pStyle w:val="16"/>
        <w:spacing w:after="40"/>
      </w:pPr>
      <w:r>
        <w:rPr>
          <w:rFonts w:ascii="Times New Roman" w:hAnsi="Times New Roman" w:eastAsia="宋体"/>
        </w:rPr>
        <w:t>题目批量导入与 AI 补全的“人工确认流水线”交互方法（如可专利则偏发明+软著组合）；</w:t>
      </w:r>
    </w:p>
    <w:p w14:paraId="06AB35A6">
      <w:pPr>
        <w:pStyle w:val="16"/>
        <w:spacing w:after="40"/>
      </w:pPr>
      <w:r>
        <w:rPr>
          <w:rFonts w:ascii="Times New Roman" w:hAnsi="Times New Roman" w:eastAsia="宋体"/>
        </w:rPr>
        <w:t>练习/错题数据驱动的学情报告生成流程；</w:t>
      </w:r>
    </w:p>
    <w:p w14:paraId="43BEC28B">
      <w:pPr>
        <w:pStyle w:val="16"/>
        <w:spacing w:after="40"/>
      </w:pPr>
      <w:r>
        <w:rPr>
          <w:rFonts w:ascii="Times New Roman" w:hAnsi="Times New Roman" w:eastAsia="宋体"/>
        </w:rPr>
        <w:t>共享场景的只读/可编辑协同与订阅拷贝机制。</w:t>
      </w:r>
    </w:p>
    <w:p w14:paraId="0CE79FCB">
      <w:pPr>
        <w:pStyle w:val="16"/>
        <w:spacing w:after="40"/>
      </w:pPr>
      <w:r>
        <w:rPr>
          <w:rFonts w:ascii="Times New Roman" w:hAnsi="Times New Roman" w:eastAsia="宋体"/>
          <w:b/>
        </w:rPr>
        <w:t>建议动作</w:t>
      </w:r>
      <w:r>
        <w:rPr>
          <w:rFonts w:ascii="Times New Roman" w:hAnsi="Times New Roman" w:eastAsia="宋体"/>
        </w:rPr>
        <w:t>：【占位——是否申请、以谁名义（个人/学校）、预算】。检索途径：国家知识产权局专利检索系统、佰腾/智慧芽等。</w:t>
      </w:r>
    </w:p>
    <w:p w14:paraId="3B92BC54">
      <w:pPr>
        <w:pStyle w:val="4"/>
      </w:pPr>
      <w:bookmarkStart w:id="4" w:name="_Toc123725313"/>
      <w:r>
        <w:rPr>
          <w:rFonts w:ascii="Times New Roman" w:hAnsi="Times New Roman" w:eastAsia="宋体"/>
          <w:b/>
        </w:rPr>
        <w:t>2.3 第三方检测/测评报告（无 → 可选做）</w:t>
      </w:r>
      <w:bookmarkEnd w:id="4"/>
    </w:p>
    <w:p w14:paraId="115C24E8">
      <w:pPr>
        <w:pStyle w:val="16"/>
        <w:spacing w:after="40"/>
      </w:pPr>
      <w:r>
        <w:rPr>
          <w:rFonts w:ascii="Times New Roman" w:hAnsi="Times New Roman" w:eastAsia="宋体"/>
          <w:b/>
        </w:rPr>
        <w:t>现状</w:t>
      </w:r>
      <w:r>
        <w:rPr>
          <w:rFonts w:ascii="Times New Roman" w:hAnsi="Times New Roman" w:eastAsia="宋体"/>
        </w:rPr>
        <w:t>：未委托任何第三方机构测评。</w:t>
      </w:r>
    </w:p>
    <w:p w14:paraId="570EF5F1">
      <w:pPr>
        <w:pStyle w:val="16"/>
        <w:spacing w:after="40"/>
      </w:pPr>
      <w:r>
        <w:rPr>
          <w:rFonts w:ascii="Times New Roman" w:hAnsi="Times New Roman" w:eastAsia="宋体"/>
          <w:b/>
        </w:rPr>
        <w:t>已有替代证据</w:t>
      </w:r>
      <w:r>
        <w:rPr>
          <w:rFonts w:ascii="Times New Roman" w:hAnsi="Times New Roman" w:eastAsia="宋体"/>
        </w:rPr>
        <w:t>：单测 193 项 + 构建门禁 + 版本发布（见第一部分）可作“工程自证”；部分申报（如学校立项验收）接受“自测报告 + 演示验收”。</w:t>
      </w:r>
    </w:p>
    <w:p w14:paraId="1BDEA5E2">
      <w:pPr>
        <w:pStyle w:val="16"/>
        <w:spacing w:after="40"/>
      </w:pPr>
      <w:r>
        <w:rPr>
          <w:rFonts w:ascii="Times New Roman" w:hAnsi="Times New Roman" w:eastAsia="宋体"/>
          <w:b/>
        </w:rPr>
        <w:t>如需要正式报告</w:t>
      </w:r>
      <w:r>
        <w:rPr>
          <w:rFonts w:ascii="Times New Roman" w:hAnsi="Times New Roman" w:eastAsia="宋体"/>
        </w:rPr>
        <w:t>：委托具有 CMA/CNAS 资质的软件测评机构（如中国软件评测中心等，名录请查证【占位】）做功能/性能/安全测试并出具报告；需准备：部署环境、测试用例（可基于 README 功能清单编写）、演示数据；费用与周期因机构与项目规模而异【费用/周期占位，通常数千元起、1~4 周】。</w:t>
      </w:r>
    </w:p>
    <w:p w14:paraId="074CD67F">
      <w:pPr>
        <w:pStyle w:val="16"/>
        <w:spacing w:after="40"/>
      </w:pPr>
      <w:r>
        <w:rPr>
          <w:rFonts w:ascii="Times New Roman" w:hAnsi="Times New Roman" w:eastAsia="宋体"/>
          <w:b/>
        </w:rPr>
        <w:t>负责人/时间</w:t>
      </w:r>
      <w:r>
        <w:rPr>
          <w:rFonts w:ascii="Times New Roman" w:hAnsi="Times New Roman" w:eastAsia="宋体"/>
        </w:rPr>
        <w:t>：【占位】</w:t>
      </w:r>
    </w:p>
    <w:p w14:paraId="44C531E7">
      <w:pPr>
        <w:pStyle w:val="4"/>
      </w:pPr>
      <w:bookmarkStart w:id="5" w:name="_Toc1030718166"/>
      <w:r>
        <w:rPr>
          <w:rFonts w:ascii="Times New Roman" w:hAnsi="Times New Roman" w:eastAsia="宋体"/>
          <w:b/>
        </w:rPr>
        <w:t>2.4 合作协议 / 试点单位证明（无 → 需实际开展）</w:t>
      </w:r>
      <w:bookmarkEnd w:id="5"/>
    </w:p>
    <w:p w14:paraId="1DB18016">
      <w:pPr>
        <w:pStyle w:val="16"/>
        <w:spacing w:after="40"/>
      </w:pPr>
      <w:r>
        <w:rPr>
          <w:rFonts w:ascii="Times New Roman" w:hAnsi="Times New Roman" w:eastAsia="宋体"/>
          <w:b/>
        </w:rPr>
        <w:t>现状</w:t>
      </w:r>
      <w:r>
        <w:rPr>
          <w:rFonts w:ascii="Times New Roman" w:hAnsi="Times New Roman" w:eastAsia="宋体"/>
        </w:rPr>
        <w:t>：未与任何学校/机构签署合作或试点协议。</w:t>
      </w:r>
    </w:p>
    <w:p w14:paraId="27519DA3">
      <w:pPr>
        <w:pStyle w:val="16"/>
        <w:spacing w:after="40"/>
      </w:pPr>
      <w:r>
        <w:rPr>
          <w:rFonts w:ascii="Times New Roman" w:hAnsi="Times New Roman" w:eastAsia="宋体"/>
          <w:b/>
        </w:rPr>
        <w:t>切勿虚构</w:t>
      </w:r>
      <w:r>
        <w:rPr>
          <w:rFonts w:ascii="Times New Roman" w:hAnsi="Times New Roman" w:eastAsia="宋体"/>
        </w:rPr>
        <w:t>：如需“试点单位”类佐证，必须先真实开展试用并获得对方书面确认（试用反馈表/授权书/协议均可），流程建议：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1. 起草《软件试用/试点协议（意向模板）》：范围（模块/期限/数据）、双方义务（数据脱敏、知识产权归属维持开源 MIT 前提下的使用边界）、反馈机制【占位：模板起草】；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2. 对接 1~2 位真实教师/课程：用演示数据建一门课题库并试用（见 docs/02 附录 A 演示脚本），收集反馈表（截图/签字）；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3. 反馈表要素：试用单位与联系人（需对方确认可公开）、试用时间、功能清单勾选、意见建议、签字盖章（视申报要求）。</w:t>
      </w:r>
    </w:p>
    <w:p w14:paraId="615F9AFD">
      <w:pPr>
        <w:pStyle w:val="16"/>
        <w:spacing w:after="40"/>
      </w:pPr>
      <w:r>
        <w:rPr>
          <w:rFonts w:ascii="Times New Roman" w:hAnsi="Times New Roman" w:eastAsia="宋体"/>
          <w:b/>
        </w:rPr>
        <w:t>试点对象建议</w:t>
      </w:r>
      <w:r>
        <w:rPr>
          <w:rFonts w:ascii="Times New Roman" w:hAnsi="Times New Roman" w:eastAsia="宋体"/>
        </w:rPr>
        <w:t>：团队成员所在高校的任课教师、实验室、学生组织【占位：对接人】。</w:t>
      </w:r>
    </w:p>
    <w:p w14:paraId="187FA1AD">
      <w:pPr>
        <w:pStyle w:val="4"/>
      </w:pPr>
      <w:bookmarkStart w:id="6" w:name="_Toc1026993666"/>
      <w:r>
        <w:rPr>
          <w:rFonts w:ascii="Times New Roman" w:hAnsi="Times New Roman" w:eastAsia="宋体"/>
          <w:b/>
        </w:rPr>
        <w:t>2.5 经营主体与运营资质（无 → 视规划决定）</w:t>
      </w:r>
      <w:bookmarkEnd w:id="6"/>
    </w:p>
    <w:p w14:paraId="338E8E9B">
      <w:pPr>
        <w:pStyle w:val="16"/>
        <w:spacing w:after="40"/>
      </w:pPr>
      <w:r>
        <w:rPr>
          <w:rFonts w:ascii="Times New Roman" w:hAnsi="Times New Roman" w:eastAsia="宋体"/>
          <w:b/>
        </w:rPr>
        <w:t>现状</w:t>
      </w:r>
      <w:r>
        <w:rPr>
          <w:rFonts w:ascii="Times New Roman" w:hAnsi="Times New Roman" w:eastAsia="宋体"/>
        </w:rPr>
        <w:t>：团队未注册公司/个体工商户，无营业执照、无 ICP 备案、无商标、无软件企业资质。</w:t>
      </w:r>
    </w:p>
    <w:p w14:paraId="2CB106CF">
      <w:pPr>
        <w:pStyle w:val="16"/>
        <w:spacing w:after="40"/>
      </w:pPr>
      <w:r>
        <w:rPr>
          <w:rFonts w:ascii="Times New Roman" w:hAnsi="Times New Roman" w:eastAsia="宋体"/>
          <w:b/>
        </w:rPr>
        <w:t>说明</w:t>
      </w:r>
      <w:r>
        <w:rPr>
          <w:rFonts w:ascii="Times New Roman" w:hAnsi="Times New Roman" w:eastAsia="宋体"/>
        </w:rPr>
        <w:t>：当前以“开源项目/参赛团队”身份运作无需上述资质；一旦对外收费运营（SaaS/授权销售）需先设立主体并按需完成：营业执照（公司或个体户）→ ICP 备案/许可（经营性网站）→ 软件类目合规（如涉及生成式 AI 公众服务还需专项评估，见 docs/03-AI技术应用说明.md 第 5 章）→ 商标注册（可选，防抢注）。</w:t>
      </w:r>
    </w:p>
    <w:p w14:paraId="0FA3A266">
      <w:pPr>
        <w:pStyle w:val="16"/>
        <w:spacing w:after="40"/>
      </w:pPr>
      <w:r>
        <w:rPr>
          <w:rFonts w:ascii="Times New Roman" w:hAnsi="Times New Roman" w:eastAsia="宋体"/>
          <w:b/>
        </w:rPr>
        <w:t>建议</w:t>
      </w:r>
      <w:r>
        <w:rPr>
          <w:rFonts w:ascii="Times New Roman" w:hAnsi="Times New Roman" w:eastAsia="宋体"/>
        </w:rPr>
        <w:t>：与参赛/双创政策结合（学校众创空间、大学生创业扶持）再决定【占位：团队决策】。</w:t>
      </w:r>
    </w:p>
    <w:p w14:paraId="2C62905B">
      <w:pPr>
        <w:pStyle w:val="4"/>
      </w:pPr>
      <w:bookmarkStart w:id="7" w:name="_Toc767803790"/>
      <w:r>
        <w:rPr>
          <w:rFonts w:ascii="Times New Roman" w:hAnsi="Times New Roman" w:eastAsia="宋体"/>
          <w:b/>
        </w:rPr>
        <w:t>2.6 获奖/竞赛证明（以实际为准）</w:t>
      </w:r>
      <w:bookmarkEnd w:id="7"/>
    </w:p>
    <w:p w14:paraId="14C044E6">
      <w:pPr>
        <w:pStyle w:val="16"/>
        <w:spacing w:after="40"/>
      </w:pPr>
      <w:r>
        <w:rPr>
          <w:rFonts w:ascii="Times New Roman" w:hAnsi="Times New Roman" w:eastAsia="宋体"/>
          <w:b/>
        </w:rPr>
        <w:t>现状</w:t>
      </w:r>
      <w:r>
        <w:rPr>
          <w:rFonts w:ascii="Times New Roman" w:hAnsi="Times New Roman" w:eastAsia="宋体"/>
        </w:rPr>
        <w:t>：本文未采集任何获奖信息；如参赛请按真实结果填写【占位：竞赛名称/结果/时间】。</w:t>
      </w:r>
    </w:p>
    <w:p w14:paraId="4837E7D8">
      <w:pPr>
        <w:pStyle w:val="4"/>
      </w:pPr>
      <w:bookmarkStart w:id="8" w:name="_Toc1072808585"/>
      <w:r>
        <w:rPr>
          <w:rFonts w:ascii="Times New Roman" w:hAnsi="Times New Roman" w:eastAsia="宋体"/>
          <w:b/>
        </w:rPr>
        <w:t>2.7 用户规模与运营数据（以实际为准）</w:t>
      </w:r>
      <w:bookmarkEnd w:id="8"/>
    </w:p>
    <w:p w14:paraId="7D34C517">
      <w:pPr>
        <w:pStyle w:val="16"/>
        <w:spacing w:after="40"/>
      </w:pPr>
      <w:r>
        <w:rPr>
          <w:rFonts w:ascii="Times New Roman" w:hAnsi="Times New Roman" w:eastAsia="宋体"/>
          <w:b/>
        </w:rPr>
        <w:t>现状</w:t>
      </w:r>
      <w:r>
        <w:rPr>
          <w:rFonts w:ascii="Times New Roman" w:hAnsi="Times New Roman" w:eastAsia="宋体"/>
        </w:rPr>
        <w:t>：产品无公开运营实例，仓库与演示账号仅为内部使用；对外宣传口径建议表述为“已完成核心功能与工程化，正在进行校园试点”【试点数据：占位】。</w:t>
      </w:r>
    </w:p>
    <w:p w14:paraId="3A9A5A71">
      <w:pPr>
        <w:pBdr>
          <w:bottom w:val="single" w:color="C9D5E4" w:sz="4" w:space="1"/>
        </w:pBdr>
        <w:spacing w:before="120" w:after="120"/>
      </w:pPr>
    </w:p>
    <w:p w14:paraId="19BE5973">
      <w:pPr>
        <w:pStyle w:val="3"/>
      </w:pPr>
      <w:bookmarkStart w:id="9" w:name="_Toc2043526746"/>
      <w:r>
        <w:rPr>
          <w:rFonts w:ascii="Times New Roman" w:hAnsi="Times New Roman" w:eastAsia="宋体"/>
          <w:b/>
        </w:rPr>
        <w:t>三、申报一致性自查清单（提交任何申报材料前逐项核对）</w:t>
      </w:r>
      <w:bookmarkEnd w:id="9"/>
    </w:p>
    <w:p w14:paraId="223D0CEC">
      <w:pPr>
        <w:pStyle w:val="16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软著/专利/检测报告/合作协议等“证书类”条目：仅在</w:t>
      </w:r>
      <w:r>
        <w:rPr>
          <w:rFonts w:ascii="Times New Roman" w:hAnsi="Times New Roman" w:eastAsia="宋体"/>
          <w:b/>
        </w:rPr>
        <w:t>真正取得证书或盖章文件</w:t>
      </w:r>
      <w:r>
        <w:rPr>
          <w:rFonts w:ascii="Times New Roman" w:hAnsi="Times New Roman" w:eastAsia="宋体"/>
        </w:rPr>
        <w:t>后填写，禁止使用“已受理=已取得”的模糊表述；</w:t>
      </w:r>
    </w:p>
    <w:p w14:paraId="7D2E56E7">
      <w:pPr>
        <w:pStyle w:val="16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版本号、Release 数量、测试数量等数字与仓库当日状态一致（引用时注明日期）；</w:t>
      </w:r>
    </w:p>
    <w:p w14:paraId="15DE7C8F">
      <w:pPr>
        <w:pStyle w:val="16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团队 3 人姓名/分工与</w:t>
      </w:r>
      <w:r>
        <w:rPr>
          <w:rFonts w:ascii="Times New Roman" w:hAnsi="Times New Roman" w:eastAsia="宋体"/>
          <w:b/>
        </w:rPr>
        <w:t>实际贡献及 git 提交记录可对应</w:t>
      </w:r>
      <w:r>
        <w:rPr>
          <w:rFonts w:ascii="Times New Roman" w:hAnsi="Times New Roman" w:eastAsia="宋体"/>
        </w:rPr>
        <w:t>（docs/README.md 一致性提醒）；</w:t>
      </w:r>
    </w:p>
    <w:p w14:paraId="666BBD4D">
      <w:pPr>
        <w:pStyle w:val="16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学校/指导教师等抬头信息已与实际确认；</w:t>
      </w:r>
    </w:p>
    <w:p w14:paraId="31FF3A88">
      <w:pPr>
        <w:pStyle w:val="16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全文无【占位符】残留；</w:t>
      </w:r>
    </w:p>
    <w:p w14:paraId="46396A94">
      <w:pPr>
        <w:pStyle w:val="16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涉及开源组件的合规声明（MIT 等）与申报材料口径一致，无“全部代码原创”类过度表述（如实写“核心业务代码自主开发，使用 MIT/BSD 类开源组件”更稳妥）；</w:t>
      </w:r>
    </w:p>
    <w:p w14:paraId="2AF574C0">
      <w:pPr>
        <w:pStyle w:val="16"/>
        <w:spacing w:after="40"/>
      </w:pPr>
      <w:r>
        <w:rPr>
          <w:rFonts w:ascii="Times New Roman" w:hAnsi="Times New Roman" w:eastAsia="宋体"/>
          <w:color w:val="17407A"/>
        </w:rPr>
        <w:t>☐</w:t>
      </w:r>
      <w:r>
        <w:rPr>
          <w:rFonts w:ascii="Times New Roman" w:hAnsi="Times New Roman" w:eastAsia="宋体"/>
        </w:rPr>
        <w:t xml:space="preserve"> 对外发布前由团队 3 人共同确认口径（防止单人误填）。</w:t>
      </w:r>
    </w:p>
    <w:p w14:paraId="55F9D11C">
      <w:pPr>
        <w:pStyle w:val="3"/>
        <w:rPr>
          <w:strike/>
          <w:dstrike w:val="0"/>
        </w:rPr>
      </w:pPr>
      <w:bookmarkStart w:id="10" w:name="_Toc885601090"/>
      <w:r>
        <w:rPr>
          <w:rFonts w:ascii="Times New Roman" w:hAnsi="Times New Roman" w:eastAsia="宋体"/>
          <w:b/>
          <w:strike/>
          <w:dstrike w:val="0"/>
        </w:rPr>
        <w:t>四、推进表（内部用，占位）</w:t>
      </w:r>
      <w:bookmarkEnd w:id="10"/>
    </w:p>
    <w:tbl>
      <w:tblPr>
        <w:tblStyle w:val="35"/>
        <w:tblW w:w="0" w:type="auto"/>
        <w:jc w:val="center"/>
        <w:tblBorders>
          <w:top w:val="single" w:color="17407A" w:sz="12" w:space="0"/>
          <w:left w:val="none" w:color="FFFFFF" w:sz="0" w:space="0"/>
          <w:bottom w:val="single" w:color="17407A" w:sz="12" w:space="0"/>
          <w:right w:val="none" w:color="FFFFFF" w:sz="0" w:space="0"/>
          <w:insideH w:val="single" w:color="C9D5E4" w:sz="4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06AA54C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  <w:jc w:val="center"/>
        </w:trPr>
        <w:tc>
          <w:tcPr>
            <w:tcW w:w="1814" w:type="dxa"/>
            <w:tcBorders>
              <w:bottom w:val="single" w:color="17407A" w:sz="8" w:space="0"/>
            </w:tcBorders>
            <w:shd w:val="clear" w:color="auto" w:fill="EAF1F9"/>
          </w:tcPr>
          <w:p w14:paraId="0D780A37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/>
                <w:strike/>
                <w:dstrike w:val="0"/>
                <w:sz w:val="18"/>
              </w:rPr>
              <w:t>事项</w:t>
            </w:r>
          </w:p>
        </w:tc>
        <w:tc>
          <w:tcPr>
            <w:tcW w:w="1814" w:type="dxa"/>
            <w:tcBorders>
              <w:bottom w:val="single" w:color="17407A" w:sz="8" w:space="0"/>
            </w:tcBorders>
            <w:shd w:val="clear" w:color="auto" w:fill="EAF1F9"/>
          </w:tcPr>
          <w:p w14:paraId="5FBAB389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/>
                <w:strike/>
                <w:dstrike w:val="0"/>
                <w:sz w:val="18"/>
              </w:rPr>
              <w:t>负责人</w:t>
            </w:r>
          </w:p>
        </w:tc>
        <w:tc>
          <w:tcPr>
            <w:tcW w:w="1814" w:type="dxa"/>
            <w:tcBorders>
              <w:bottom w:val="single" w:color="17407A" w:sz="8" w:space="0"/>
            </w:tcBorders>
            <w:shd w:val="clear" w:color="auto" w:fill="EAF1F9"/>
          </w:tcPr>
          <w:p w14:paraId="3C4BBA09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/>
                <w:strike/>
                <w:dstrike w:val="0"/>
                <w:sz w:val="18"/>
              </w:rPr>
              <w:t>计划时间</w:t>
            </w:r>
          </w:p>
        </w:tc>
        <w:tc>
          <w:tcPr>
            <w:tcW w:w="1814" w:type="dxa"/>
            <w:tcBorders>
              <w:bottom w:val="single" w:color="17407A" w:sz="8" w:space="0"/>
            </w:tcBorders>
            <w:shd w:val="clear" w:color="auto" w:fill="EAF1F9"/>
          </w:tcPr>
          <w:p w14:paraId="7134A998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/>
                <w:strike/>
                <w:dstrike w:val="0"/>
                <w:sz w:val="18"/>
              </w:rPr>
              <w:t>前置条件</w:t>
            </w:r>
          </w:p>
        </w:tc>
        <w:tc>
          <w:tcPr>
            <w:tcW w:w="1814" w:type="dxa"/>
            <w:tcBorders>
              <w:bottom w:val="single" w:color="17407A" w:sz="8" w:space="0"/>
            </w:tcBorders>
            <w:shd w:val="clear" w:color="auto" w:fill="EAF1F9"/>
          </w:tcPr>
          <w:p w14:paraId="300C8E28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/>
                <w:strike/>
                <w:dstrike w:val="0"/>
                <w:sz w:val="18"/>
              </w:rPr>
              <w:t>产出物</w:t>
            </w:r>
          </w:p>
        </w:tc>
      </w:tr>
      <w:tr w14:paraId="08D1553D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814" w:type="dxa"/>
          </w:tcPr>
          <w:p w14:paraId="491D0B7E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软著申请（若做）</w:t>
            </w:r>
          </w:p>
        </w:tc>
        <w:tc>
          <w:tcPr>
            <w:tcW w:w="1814" w:type="dxa"/>
          </w:tcPr>
          <w:p w14:paraId="7272FECF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</w:tcPr>
          <w:p w14:paraId="2CA79A55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</w:tcPr>
          <w:p w14:paraId="1CBF3740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与学校确认主体</w:t>
            </w:r>
          </w:p>
        </w:tc>
        <w:tc>
          <w:tcPr>
            <w:tcW w:w="1814" w:type="dxa"/>
          </w:tcPr>
          <w:p w14:paraId="7FC8BC89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登记证书</w:t>
            </w:r>
          </w:p>
        </w:tc>
      </w:tr>
      <w:tr w14:paraId="6A4A454E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814" w:type="dxa"/>
            <w:shd w:val="clear" w:color="auto" w:fill="F8FAFD"/>
          </w:tcPr>
          <w:p w14:paraId="6378D5BD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试点对接与反馈收集</w:t>
            </w:r>
          </w:p>
        </w:tc>
        <w:tc>
          <w:tcPr>
            <w:tcW w:w="1814" w:type="dxa"/>
            <w:shd w:val="clear" w:color="auto" w:fill="F8FAFD"/>
          </w:tcPr>
          <w:p w14:paraId="44F22108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  <w:shd w:val="clear" w:color="auto" w:fill="F8FAFD"/>
          </w:tcPr>
          <w:p w14:paraId="3B1DE207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  <w:shd w:val="clear" w:color="auto" w:fill="F8FAFD"/>
          </w:tcPr>
          <w:p w14:paraId="7D87DE2D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起草协议/反馈表</w:t>
            </w:r>
          </w:p>
        </w:tc>
        <w:tc>
          <w:tcPr>
            <w:tcW w:w="1814" w:type="dxa"/>
            <w:shd w:val="clear" w:color="auto" w:fill="F8FAFD"/>
          </w:tcPr>
          <w:p w14:paraId="065E2596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签字反馈材料</w:t>
            </w:r>
          </w:p>
        </w:tc>
      </w:tr>
      <w:tr w14:paraId="141F6871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1814" w:type="dxa"/>
          </w:tcPr>
          <w:p w14:paraId="02BEED94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第三方测评（若做）</w:t>
            </w:r>
          </w:p>
        </w:tc>
        <w:tc>
          <w:tcPr>
            <w:tcW w:w="1814" w:type="dxa"/>
          </w:tcPr>
          <w:p w14:paraId="15C865D4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</w:tcPr>
          <w:p w14:paraId="1F626B31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</w:tcPr>
          <w:p w14:paraId="1CE174AD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确定机构与预算</w:t>
            </w:r>
          </w:p>
        </w:tc>
        <w:tc>
          <w:tcPr>
            <w:tcW w:w="1814" w:type="dxa"/>
          </w:tcPr>
          <w:p w14:paraId="2960CC23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检测报告</w:t>
            </w:r>
          </w:p>
        </w:tc>
      </w:tr>
      <w:tr w14:paraId="040E462B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814" w:type="dxa"/>
            <w:shd w:val="clear" w:color="auto" w:fill="F8FAFD"/>
          </w:tcPr>
          <w:p w14:paraId="05C4BCDE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专利检索评估（若做）</w:t>
            </w:r>
          </w:p>
        </w:tc>
        <w:tc>
          <w:tcPr>
            <w:tcW w:w="1814" w:type="dxa"/>
            <w:shd w:val="clear" w:color="auto" w:fill="F8FAFD"/>
          </w:tcPr>
          <w:p w14:paraId="0DB72377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  <w:shd w:val="clear" w:color="auto" w:fill="F8FAFD"/>
          </w:tcPr>
          <w:p w14:paraId="1C675ACB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  <w:shd w:val="clear" w:color="auto" w:fill="F8FAFD"/>
          </w:tcPr>
          <w:p w14:paraId="6F75EFF8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D"/>
          </w:tcPr>
          <w:p w14:paraId="19125619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检索结论（内部）</w:t>
            </w:r>
          </w:p>
        </w:tc>
      </w:tr>
      <w:tr w14:paraId="5586D945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814" w:type="dxa"/>
          </w:tcPr>
          <w:p w14:paraId="4F8BF612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开源数据截图留存</w:t>
            </w:r>
          </w:p>
        </w:tc>
        <w:tc>
          <w:tcPr>
            <w:tcW w:w="1814" w:type="dxa"/>
          </w:tcPr>
          <w:p w14:paraId="2D5F9594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</w:tcPr>
          <w:p w14:paraId="28F47344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【占位】</w:t>
            </w:r>
          </w:p>
        </w:tc>
        <w:tc>
          <w:tcPr>
            <w:tcW w:w="1814" w:type="dxa"/>
          </w:tcPr>
          <w:p w14:paraId="12F487D9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—</w:t>
            </w:r>
          </w:p>
        </w:tc>
        <w:tc>
          <w:tcPr>
            <w:tcW w:w="1814" w:type="dxa"/>
          </w:tcPr>
          <w:p w14:paraId="7AA0A560">
            <w:pPr>
              <w:spacing w:before="20" w:after="40" w:line="288" w:lineRule="auto"/>
              <w:rPr>
                <w:strike/>
                <w:dstrike w:val="0"/>
              </w:rPr>
            </w:pPr>
            <w:r>
              <w:rPr>
                <w:rFonts w:ascii="Times New Roman" w:hAnsi="Times New Roman" w:eastAsia="宋体"/>
                <w:b w:val="0"/>
                <w:strike/>
                <w:dstrike w:val="0"/>
                <w:sz w:val="18"/>
              </w:rPr>
              <w:t>截图文件</w:t>
            </w:r>
          </w:p>
        </w:tc>
      </w:tr>
    </w:tbl>
    <w:p w14:paraId="39F70DA8"/>
    <w:sectPr>
      <w:footerReference r:id="rId5" w:type="default"/>
      <w:pgSz w:w="11906" w:h="16838"/>
      <w:pgMar w:top="1417" w:right="1361" w:bottom="1304" w:left="1474" w:header="85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黑体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angSong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A72F2">
    <w:pPr>
      <w:pStyle w:val="24"/>
      <w:jc w:val="center"/>
    </w:pPr>
    <w:r>
      <w:rPr>
        <w:rFonts w:ascii="Times New Roman" w:hAnsi="Times New Roman" w:eastAsia="宋体"/>
        <w:b w:val="0"/>
        <w:i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 / 共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 NUMPAGES 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C7E8E32"/>
    <w:rsid w:val="FFDEA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312" w:lineRule="auto"/>
      <w:outlineLvl w:val="0"/>
    </w:pPr>
    <w:rPr>
      <w:rFonts w:asciiTheme="majorHAnsi" w:hAnsiTheme="majorHAnsi" w:eastAsiaTheme="majorEastAsia" w:cstheme="majorBidi"/>
      <w:b/>
      <w:bCs/>
      <w:color w:val="17407A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80" w:line="312" w:lineRule="auto"/>
      <w:outlineLvl w:val="1"/>
    </w:pPr>
    <w:rPr>
      <w:rFonts w:asciiTheme="majorHAnsi" w:hAnsiTheme="majorHAnsi" w:eastAsiaTheme="majorEastAsia" w:cstheme="majorBidi"/>
      <w:b/>
      <w:bCs/>
      <w:color w:val="23527C"/>
      <w:sz w:val="24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60" w:line="312" w:lineRule="auto"/>
      <w:outlineLvl w:val="2"/>
    </w:pPr>
    <w:rPr>
      <w:rFonts w:asciiTheme="majorHAnsi" w:hAnsiTheme="majorHAnsi" w:eastAsiaTheme="majorEastAsia" w:cstheme="majorBidi"/>
      <w:b/>
      <w:bCs/>
      <w:color w:val="23527C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HanHaocheng</cp:lastModifiedBy>
  <dcterms:modified xsi:type="dcterms:W3CDTF">2026-09-10T20:06:28Z</dcterms:modified>
  <dc:title>智能题库管理系统 · 佐证材料清单与现状盘点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80D86E809904201BF39CA26A099C6CCE_42</vt:lpwstr>
  </property>
</Properties>
</file>