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360"/>
        <w:jc w:val="center"/>
      </w:pPr>
      <w:r>
        <w:rPr>
          <w:rFonts w:ascii="Arial" w:hAnsi="Arial" w:eastAsia="黑体"/>
          <w:b/>
          <w:i w:val="0"/>
          <w:color w:val="17407A"/>
          <w:sz w:val="44"/>
        </w:rPr>
        <w:t>智能题库管理系统（智能题库 · qbank）商业计划书</w:t>
      </w:r>
    </w:p>
    <w:tbl>
      <w:tblPr>
        <w:tblW w:w="4600" w:type="pct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4"/>
          <w:bottom w:val="single" w:sz="4" w:space="0" w:color="C9D5E4"/>
          <w:left w:val="single" w:sz="4" w:space="0" w:color="C9D5E4"/>
          <w:right w:val="single" w:sz="4" w:space="0" w:color="C9D5E4"/>
          <w:insideH w:val="none" w:sz="0" w:space="0" w:color="FFFFFF"/>
          <w:insideV w:val="none" w:sz="0" w:space="0" w:color="FFFFFF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9071"/>
      </w:tblGrid>
      <w:tr>
        <w:tc>
          <w:tcPr>
            <w:tcW w:type="dxa" w:w="9071"/>
            <w:shd w:val="clear" w:color="auto" w:fill="F2F6FA"/>
          </w:tcPr>
          <w:p>
            <w:pPr>
              <w:spacing w:after="20" w:line="312" w:lineRule="auto"/>
              <w:jc w:val="center"/>
            </w:pPr>
            <w:r>
              <w:rPr>
                <w:rFonts w:ascii="FangSong" w:hAnsi="FangSong" w:eastAsia="仿宋"/>
                <w:b w:val="0"/>
                <w:i w:val="0"/>
                <w:color w:val="44546A"/>
                <w:sz w:val="20"/>
              </w:rPr>
              <w:t>文档版本：draft-1（底稿）</w:t>
            </w:r>
          </w:p>
          <w:p>
            <w:pPr>
              <w:spacing w:after="20" w:line="312" w:lineRule="auto"/>
              <w:jc w:val="center"/>
            </w:pPr>
            <w:r>
              <w:rPr>
                <w:rFonts w:ascii="FangSong" w:hAnsi="FangSong" w:eastAsia="仿宋"/>
                <w:b w:val="0"/>
                <w:i w:val="0"/>
                <w:color w:val="44546A"/>
                <w:sz w:val="20"/>
              </w:rPr>
              <w:t>数据口径：2026-09-09（仓库 HEAD `c6f7152`）</w:t>
            </w:r>
          </w:p>
          <w:p>
            <w:pPr>
              <w:spacing w:after="20" w:line="312" w:lineRule="auto"/>
              <w:jc w:val="center"/>
            </w:pPr>
            <w:r>
              <w:rPr>
                <w:rFonts w:ascii="FangSong" w:hAnsi="FangSong" w:eastAsia="仿宋"/>
                <w:b w:val="0"/>
                <w:i w:val="0"/>
                <w:color w:val="44546A"/>
                <w:sz w:val="20"/>
              </w:rPr>
              <w:t>编制团队：【学校名称】3 名在校大学生（详见第 10 章）</w:t>
            </w:r>
          </w:p>
          <w:p>
            <w:pPr>
              <w:spacing w:after="20" w:line="312" w:lineRule="auto"/>
              <w:jc w:val="center"/>
            </w:pPr>
            <w:r>
              <w:rPr>
                <w:rFonts w:ascii="FangSong" w:hAnsi="FangSong" w:eastAsia="仿宋"/>
                <w:b w:val="0"/>
                <w:i w:val="0"/>
                <w:color w:val="44546A"/>
                <w:sz w:val="20"/>
              </w:rPr>
              <w:t>文档定位：路演/申报底稿。凡标注【】或“规划/假设”的内容均为待填项或前瞻推演，未经验证或未发生的事项一律未写成既成事实。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Arial" w:hAnsi="Arial" w:eastAsia="黑体"/>
          <w:b/>
          <w:i w:val="0"/>
          <w:color w:val="17407A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sz w:val="20"/>
        </w:rPr>
        <w:fldChar w:fldCharType="begin"/>
      </w:r>
      <w:r>
        <w:rPr>
          <w:rFonts w:ascii="Times New Roman" w:hAnsi="Times New Roman" w:eastAsia="宋体"/>
          <w:b w:val="0"/>
          <w:i w:val="0"/>
          <w:sz w:val="20"/>
        </w:rPr>
        <w:instrText xml:space="preserve"> TOC \o "1-3" \h \z \u </w:instrText>
      </w:r>
      <w:r>
        <w:rPr>
          <w:rFonts w:ascii="Times New Roman" w:hAnsi="Times New Roman" w:eastAsia="宋体"/>
          <w:b w:val="0"/>
          <w:i w:val="0"/>
          <w:sz w:val="20"/>
        </w:rPr>
        <w:fldChar w:fldCharType="separate"/>
      </w:r>
      <w:r>
        <w:rPr>
          <w:rFonts w:ascii="Times New Roman" w:hAnsi="Times New Roman" w:eastAsia="宋体"/>
          <w:b w:val="0"/>
          <w:i w:val="0"/>
          <w:color w:val="8A94A6"/>
          <w:sz w:val="20"/>
        </w:rPr>
        <w:t>（目录为自动域，打开文档后按 Ctrl+A 全选 → F9 刷新即生成；也可删除后自行处理）</w:t>
      </w:r>
      <w:r>
        <w:rPr>
          <w:rFonts w:ascii="Times New Roman" w:hAnsi="Times New Roman" w:eastAsia="宋体"/>
          <w:b w:val="0"/>
          <w:i w:val="0"/>
          <w:sz w:val="20"/>
        </w:rPr>
        <w:fldChar w:fldCharType="end"/>
      </w:r>
    </w:p>
    <w:p>
      <w:r>
        <w:rPr>
          <w:rFonts w:ascii="Times New Roman" w:hAnsi="Times New Roman" w:eastAsia="宋体"/>
          <w:b w:val="0"/>
          <w:i w:val="0"/>
          <w:color w:val="8A94A6"/>
          <w:sz w:val="18"/>
        </w:rPr>
        <w:t>提示：如文档打开时未自动刷新目录，全选后按 F9 即可；页码以 Word 实际排版为准。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</w:rPr>
        <w:t>0. 声明与使用方法</w:t>
      </w:r>
    </w:p>
    <w:p>
      <w:pPr>
        <w:numPr>
          <w:ilvl w:val="0"/>
          <w:numId w:val="10"/>
        </w:numPr>
        <w:spacing w:after="40"/>
      </w:pPr>
      <w:r>
        <w:rPr>
          <w:rFonts w:ascii="Times New Roman" w:hAnsi="Times New Roman" w:eastAsia="宋体"/>
        </w:rPr>
        <w:t>本计划书中“产品现状、技术参数、版本与发布记录、测试规模”等</w:t>
      </w:r>
      <w:r>
        <w:rPr>
          <w:rFonts w:ascii="Times New Roman" w:hAnsi="Times New Roman" w:eastAsia="宋体"/>
          <w:b/>
        </w:rPr>
        <w:t>事实性内容均取自公开仓库</w:t>
      </w:r>
      <w:r>
        <w:rPr>
          <w:rFonts w:ascii="Times New Roman" w:hAnsi="Times New Roman" w:eastAsia="宋体"/>
        </w:rPr>
        <w:t>（github.com/Han-Haocheng/IntelligentQuestionBank，MIT 开源），可核查。</w:t>
      </w:r>
    </w:p>
    <w:p>
      <w:pPr>
        <w:numPr>
          <w:ilvl w:val="0"/>
          <w:numId w:val="10"/>
        </w:numPr>
        <w:spacing w:after="40"/>
      </w:pPr>
      <w:r>
        <w:rPr>
          <w:rFonts w:ascii="Times New Roman" w:hAnsi="Times New Roman" w:eastAsia="宋体"/>
        </w:rPr>
        <w:t>“市场容量、定价、收入预测、用户增长”等属于</w:t>
      </w:r>
      <w:r>
        <w:rPr>
          <w:rFonts w:ascii="Times New Roman" w:hAnsi="Times New Roman" w:eastAsia="宋体"/>
          <w:b/>
        </w:rPr>
        <w:t>前瞻假设</w:t>
      </w:r>
      <w:r>
        <w:rPr>
          <w:rFonts w:ascii="Times New Roman" w:hAnsi="Times New Roman" w:eastAsia="宋体"/>
        </w:rPr>
        <w:t>，均明确标注为“假设”，需团队引用权威二手资料或做小范围调研后补入引用来源。</w:t>
      </w:r>
    </w:p>
    <w:p>
      <w:pPr>
        <w:numPr>
          <w:ilvl w:val="0"/>
          <w:numId w:val="10"/>
        </w:numPr>
        <w:spacing w:after="40"/>
      </w:pPr>
      <w:r>
        <w:rPr>
          <w:rFonts w:ascii="Times New Roman" w:hAnsi="Times New Roman" w:eastAsia="宋体"/>
        </w:rPr>
        <w:t>团队目前</w:t>
      </w:r>
      <w:r>
        <w:rPr>
          <w:rFonts w:ascii="Times New Roman" w:hAnsi="Times New Roman" w:eastAsia="宋体"/>
          <w:b/>
        </w:rPr>
        <w:t>未注册企业/个体工商户主体</w:t>
      </w:r>
      <w:r>
        <w:rPr>
          <w:rFonts w:ascii="Times New Roman" w:hAnsi="Times New Roman" w:eastAsia="宋体"/>
        </w:rPr>
        <w:t>，本计划以“开源项目团队”身份撰写；需要对外签约、收款或申报补贴时，请先按第 12 章规划完成主体设立。</w:t>
      </w:r>
    </w:p>
    <w:p>
      <w:pPr>
        <w:numPr>
          <w:ilvl w:val="0"/>
          <w:numId w:val="10"/>
        </w:numPr>
        <w:spacing w:after="40"/>
      </w:pPr>
      <w:r>
        <w:rPr>
          <w:rFonts w:ascii="Times New Roman" w:hAnsi="Times New Roman" w:eastAsia="宋体"/>
        </w:rPr>
        <w:t>使用前请全文搜索【并替换为实际信息。</w:t>
      </w:r>
    </w:p>
    <w:p>
      <w:pPr>
        <w:pBdr>
          <w:bottom w:val="single" w:sz="4" w:space="1" w:color="C9D5E4"/>
        </w:pBdr>
        <w:spacing w:before="120" w:after="120"/>
      </w:pPr>
    </w:p>
    <w:p>
      <w:pPr>
        <w:pStyle w:val="Heading1"/>
      </w:pPr>
      <w:r>
        <w:rPr>
          <w:rFonts w:ascii="Times New Roman" w:hAnsi="Times New Roman" w:eastAsia="宋体"/>
          <w:b/>
        </w:rPr>
        <w:t>1. 执行摘要</w:t>
      </w:r>
    </w:p>
    <w:p>
      <w:pPr>
        <w:ind w:firstLine="440" w:firstLineChars="200"/>
        <w:jc w:val="both"/>
      </w:pPr>
      <w:r>
        <w:rPr>
          <w:rFonts w:ascii="Times New Roman" w:hAnsi="Times New Roman" w:eastAsia="宋体"/>
          <w:b/>
        </w:rPr>
        <w:t>一句话</w:t>
      </w:r>
      <w:r>
        <w:rPr>
          <w:rFonts w:ascii="Times New Roman" w:hAnsi="Times New Roman" w:eastAsia="宋体"/>
        </w:rPr>
        <w:t>：一套集「管题—练题—分析」于一体的智能题库软件——老师用几分钟把 Excel 里的旧题变成可检索、可共享、可练习的在线题库；学生刷题自动判分、错题自动沉淀、AI 生成个人学情报告；数据私有化部署、自主可控、开源免费。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7407A"/>
          <w:bottom w:val="single" w:sz="12" w:space="0" w:color="17407A"/>
          <w:insideH w:val="single" w:sz="4" w:space="0" w:color="C9D5E4"/>
          <w:insideV w:val="none" w:sz="0" w:space="0" w:color="FFFFFF"/>
          <w:left w:val="none" w:sz="0" w:space="0" w:color="FFFFFF"/>
          <w:right w:val="none" w:sz="0" w:space="0" w:color="FFFFFF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4535"/>
        <w:gridCol w:w="4535"/>
      </w:tblGrid>
      <w:tr>
        <w:trPr>
          <w:tblHeader w:val="true"/>
          <w:tblHeader w:val="true"/>
        </w:trPr>
        <w:tc>
          <w:tcPr>
            <w:tcW w:type="dxa" w:w="4535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4535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产品形态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B/S 网页系统 + Electron 桌面端（Windows/macOS/Linux）+ 服务端渲染轻量版（qbank-web）</w:t>
            </w:r>
          </w:p>
        </w:tc>
      </w:tr>
      <w:tr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当前阶段</w:t>
            </w:r>
          </w:p>
        </w:tc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已发布 v1.0.0 ~ v1.3.0 共 9 个版本（2026-08-29 ~ 2026-09-09），当前正式版 v1.3.0，核心闭环全部可用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目标用户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教师/培训讲师、学生/备考人群、教育机构与院校管理员</w:t>
            </w:r>
          </w:p>
        </w:tc>
      </w:tr>
      <w:tr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差异化</w:t>
            </w:r>
          </w:p>
        </w:tc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开源免费 + 私有化部署 + 数据自主可控 + AI 不绑定厂商（自选任意 OpenAI 兼容大模型或本地模型）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商业模式（规划）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开源版免费；未来规划：SaaS 托管订阅、私有化部署授权、机构定制服务（详见第 7 章，尚未实施）</w:t>
            </w:r>
          </w:p>
        </w:tc>
      </w:tr>
      <w:tr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团队</w:t>
            </w:r>
          </w:p>
        </w:tc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 名在校大学生（【学校名称】），覆盖后端/前端/工程化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融资/资金需求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暂无对外融资计划；当前成本为开发机、服务器与 AI API 费用（详见第 11 章）</w:t>
            </w:r>
          </w:p>
        </w:tc>
      </w:tr>
    </w:tbl>
    <w:p>
      <w:pPr>
        <w:pBdr>
          <w:bottom w:val="single" w:sz="4" w:space="1" w:color="C9D5E4"/>
        </w:pBdr>
        <w:spacing w:before="120" w:after="120"/>
      </w:pPr>
    </w:p>
    <w:p>
      <w:pPr>
        <w:pStyle w:val="Heading1"/>
      </w:pPr>
      <w:r>
        <w:rPr>
          <w:rFonts w:ascii="Times New Roman" w:hAnsi="Times New Roman" w:eastAsia="宋体"/>
          <w:b/>
        </w:rPr>
        <w:t>2. 项目背景与市场痛点</w:t>
      </w:r>
    </w:p>
    <w:p>
      <w:pPr>
        <w:pStyle w:val="Heading2"/>
      </w:pPr>
      <w:r>
        <w:rPr>
          <w:rFonts w:ascii="Times New Roman" w:hAnsi="Times New Roman" w:eastAsia="宋体"/>
          <w:b/>
        </w:rPr>
        <w:t>2.1 背景</w:t>
      </w:r>
    </w:p>
    <w:p>
      <w:pPr>
        <w:ind w:firstLine="440" w:firstLineChars="200"/>
        <w:jc w:val="both"/>
      </w:pPr>
      <w:r>
        <w:rPr>
          <w:rFonts w:ascii="Times New Roman" w:hAnsi="Times New Roman" w:eastAsia="宋体"/>
        </w:rPr>
        <w:t>题目是教与学的核心生产资料，但多数中小学校、培训机构与个体教师的题目资源仍以 Word/Excel/纸质文件散落管理，缺乏系统化沉淀。教育信息化的下沉需求真实存在，但商业平台存在费用高、数据不自主、绑定生态等问题。</w:t>
      </w:r>
    </w:p>
    <w:p>
      <w:pPr>
        <w:pStyle w:val="Heading2"/>
      </w:pPr>
      <w:r>
        <w:rPr>
          <w:rFonts w:ascii="Times New Roman" w:hAnsi="Times New Roman" w:eastAsia="宋体"/>
          <w:b/>
        </w:rPr>
        <w:t>2.2 痛点（团队在校园与教学场景中的观察，待补充调研来源【调研佐证：可附问卷/访谈记录】）</w:t>
      </w:r>
    </w:p>
    <w:p>
      <w:pPr>
        <w:numPr>
          <w:ilvl w:val="0"/>
          <w:numId w:val="11"/>
        </w:numPr>
        <w:spacing w:after="40"/>
      </w:pPr>
      <w:r>
        <w:rPr>
          <w:rFonts w:ascii="Times New Roman" w:hAnsi="Times New Roman" w:eastAsia="宋体"/>
          <w:b/>
        </w:rPr>
        <w:t>建题难</w:t>
      </w:r>
      <w:r>
        <w:rPr>
          <w:rFonts w:ascii="Times New Roman" w:hAnsi="Times New Roman" w:eastAsia="宋体"/>
        </w:rPr>
        <w:t>：把历史试卷/表格整理成结构化题目耗时巨大，缺乏一键批量导入手段。</w:t>
      </w:r>
    </w:p>
    <w:p>
      <w:pPr>
        <w:numPr>
          <w:ilvl w:val="0"/>
          <w:numId w:val="11"/>
        </w:numPr>
        <w:spacing w:after="40"/>
      </w:pPr>
      <w:r>
        <w:rPr>
          <w:rFonts w:ascii="Times New Roman" w:hAnsi="Times New Roman" w:eastAsia="宋体"/>
          <w:b/>
        </w:rPr>
        <w:t>练题散</w:t>
      </w:r>
      <w:r>
        <w:rPr>
          <w:rFonts w:ascii="Times New Roman" w:hAnsi="Times New Roman" w:eastAsia="宋体"/>
        </w:rPr>
        <w:t>：学生练习分散在纸质卷、各类 App，练习数据不成体系，错题不复盘。</w:t>
      </w:r>
    </w:p>
    <w:p>
      <w:pPr>
        <w:numPr>
          <w:ilvl w:val="0"/>
          <w:numId w:val="11"/>
        </w:numPr>
        <w:spacing w:after="40"/>
      </w:pPr>
      <w:r>
        <w:rPr>
          <w:rFonts w:ascii="Times New Roman" w:hAnsi="Times New Roman" w:eastAsia="宋体"/>
          <w:b/>
        </w:rPr>
        <w:t>反馈慢</w:t>
      </w:r>
      <w:r>
        <w:rPr>
          <w:rFonts w:ascii="Times New Roman" w:hAnsi="Times New Roman" w:eastAsia="宋体"/>
        </w:rPr>
        <w:t>：交卷不能即时判分，教师无法及时掌握班级薄弱点。</w:t>
      </w:r>
    </w:p>
    <w:p>
      <w:pPr>
        <w:numPr>
          <w:ilvl w:val="0"/>
          <w:numId w:val="11"/>
        </w:numPr>
        <w:spacing w:after="40"/>
      </w:pPr>
      <w:r>
        <w:rPr>
          <w:rFonts w:ascii="Times New Roman" w:hAnsi="Times New Roman" w:eastAsia="宋体"/>
          <w:b/>
        </w:rPr>
        <w:t>数据孤岛与不自主</w:t>
      </w:r>
      <w:r>
        <w:rPr>
          <w:rFonts w:ascii="Times New Roman" w:hAnsi="Times New Roman" w:eastAsia="宋体"/>
        </w:rPr>
        <w:t>：题目存在商业平台后被锁定；学校数据（学生练习数据等）难以导出与自主管控。</w:t>
      </w:r>
    </w:p>
    <w:p>
      <w:pPr>
        <w:numPr>
          <w:ilvl w:val="0"/>
          <w:numId w:val="11"/>
        </w:numPr>
        <w:spacing w:after="40"/>
      </w:pPr>
      <w:r>
        <w:rPr>
          <w:rFonts w:ascii="Times New Roman" w:hAnsi="Times New Roman" w:eastAsia="宋体"/>
          <w:b/>
        </w:rPr>
        <w:t>AI 用不起来</w:t>
      </w:r>
      <w:r>
        <w:rPr>
          <w:rFonts w:ascii="Times New Roman" w:hAnsi="Times New Roman" w:eastAsia="宋体"/>
        </w:rPr>
        <w:t>：通用大模型不适合直接做题库工具；商业产品 AI 功能绑定自家模型与订阅，私有化/开源场景几乎空白。</w:t>
      </w:r>
    </w:p>
    <w:p>
      <w:pPr>
        <w:pStyle w:val="Heading2"/>
      </w:pPr>
      <w:r>
        <w:rPr>
          <w:rFonts w:ascii="Times New Roman" w:hAnsi="Times New Roman" w:eastAsia="宋体"/>
          <w:b/>
        </w:rPr>
        <w:t>2.3 市场规模（</w:t>
      </w:r>
      <w:r>
        <w:rPr>
          <w:rFonts w:ascii="Times New Roman" w:hAnsi="Times New Roman" w:eastAsia="宋体"/>
          <w:b/>
        </w:rPr>
        <w:t>假设区</w:t>
      </w:r>
      <w:r>
        <w:rPr>
          <w:rFonts w:ascii="Times New Roman" w:hAnsi="Times New Roman" w:eastAsia="宋体"/>
          <w:b/>
        </w:rPr>
        <w:t>，需引用第三方数据补全，例如教育部统计的各级学校数、培训机构数、题库类产品付费用户规模等）</w:t>
      </w:r>
    </w:p>
    <w:p>
      <w:pPr>
        <w:ind w:firstLine="440" w:firstLineChars="200"/>
        <w:jc w:val="both"/>
      </w:pPr>
      <w:r>
        <w:rPr>
          <w:rFonts w:ascii="Times New Roman" w:hAnsi="Times New Roman" w:eastAsia="宋体"/>
        </w:rPr>
        <w:t>【市场规模：请引用权威来源（如教育部年度统计公报、艾瑞/多鲸等教育科技报告）填写，并注明年份与出处；未核实前不建议在正式场合引用具体数字。】</w:t>
      </w:r>
    </w:p>
    <w:p>
      <w:pPr>
        <w:pBdr>
          <w:bottom w:val="single" w:sz="4" w:space="1" w:color="C9D5E4"/>
        </w:pBdr>
        <w:spacing w:before="120" w:after="120"/>
      </w:pPr>
    </w:p>
    <w:p>
      <w:pPr>
        <w:pStyle w:val="Heading1"/>
      </w:pPr>
      <w:r>
        <w:rPr>
          <w:rFonts w:ascii="Times New Roman" w:hAnsi="Times New Roman" w:eastAsia="宋体"/>
          <w:b/>
        </w:rPr>
        <w:t>3. 产品与服务</w:t>
      </w:r>
    </w:p>
    <w:p>
      <w:pPr>
        <w:pStyle w:val="Heading2"/>
      </w:pPr>
      <w:r>
        <w:rPr>
          <w:rFonts w:ascii="Times New Roman" w:hAnsi="Times New Roman" w:eastAsia="宋体"/>
          <w:b/>
        </w:rPr>
        <w:t>3.1 产品定位</w:t>
      </w:r>
    </w:p>
    <w:p>
      <w:pPr>
        <w:ind w:firstLine="440" w:firstLineChars="200"/>
        <w:jc w:val="both"/>
      </w:pPr>
      <w:r>
        <w:rPr>
          <w:rFonts w:ascii="Times New Roman" w:hAnsi="Times New Roman" w:eastAsia="宋体"/>
        </w:rPr>
        <w:t>面向教师与学生群体的</w:t>
      </w:r>
      <w:r>
        <w:rPr>
          <w:rFonts w:ascii="Times New Roman" w:hAnsi="Times New Roman" w:eastAsia="宋体"/>
          <w:b/>
        </w:rPr>
        <w:t>私有化、开源、AI 增强</w:t>
      </w:r>
      <w:r>
        <w:rPr>
          <w:rFonts w:ascii="Times New Roman" w:hAnsi="Times New Roman" w:eastAsia="宋体"/>
        </w:rPr>
        <w:t>的题库与练习系统。产品把“管题（录入/导入/分类/共享）— 练题（练习/判分/错题/收藏）— 分析（统计/AI 报告）”串成完整闭环。</w:t>
      </w:r>
    </w:p>
    <w:p>
      <w:pPr>
        <w:pStyle w:val="Heading2"/>
      </w:pPr>
      <w:r>
        <w:rPr>
          <w:rFonts w:ascii="Times New Roman" w:hAnsi="Times New Roman" w:eastAsia="宋体"/>
          <w:b/>
        </w:rPr>
        <w:t>3.2 用户角色（现状为系统内置两级角色）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7407A"/>
          <w:bottom w:val="single" w:sz="12" w:space="0" w:color="17407A"/>
          <w:insideH w:val="single" w:sz="4" w:space="0" w:color="C9D5E4"/>
          <w:insideV w:val="none" w:sz="0" w:space="0" w:color="FFFFFF"/>
          <w:left w:val="none" w:sz="0" w:space="0" w:color="FFFFFF"/>
          <w:right w:val="none" w:sz="0" w:space="0" w:color="FFFFFF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4535"/>
        <w:gridCol w:w="4535"/>
      </w:tblGrid>
      <w:tr>
        <w:trPr>
          <w:tblHeader w:val="true"/>
          <w:tblHeader w:val="true"/>
        </w:trPr>
        <w:tc>
          <w:tcPr>
            <w:tcW w:type="dxa" w:w="4535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4535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能力（均为已实现功能）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用户管理（增/禁用/重置密码/删除）、全局二级分类管理、界面主题管理、全站/指定用户统计查看、全部题目/题库/共享查看</w:t>
            </w:r>
          </w:p>
        </w:tc>
      </w:tr>
      <w:tr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普通用户</w:t>
            </w:r>
          </w:p>
        </w:tc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建题建库、批量导入、练习、错题本、收藏、共享协作（发出/接收）、本人统计与 AI 分析、资料维护；普通用户可见收到的共享内容并遵守只读/可编辑权限</w:t>
            </w:r>
          </w:p>
        </w:tc>
      </w:tr>
    </w:tbl>
    <w:p>
      <w:pPr>
        <w:pBdr>
          <w:left w:val="single" w:sz="18" w:space="4" w:color="34618F"/>
        </w:pBdr>
        <w:shd w:val="clear" w:color="auto" w:fill="F2F6FA"/>
        <w:spacing w:after="40"/>
        <w:ind w:left="340"/>
        <w:jc w:val="both"/>
      </w:pPr>
      <w:r>
        <w:rPr>
          <w:rFonts w:ascii="Times New Roman" w:hAnsi="Times New Roman" w:eastAsia="宋体"/>
        </w:rPr>
        <w:br/>
      </w:r>
    </w:p>
    <w:p>
      <w:pPr>
        <w:pBdr>
          <w:left w:val="single" w:sz="18" w:space="4" w:color="34618F"/>
        </w:pBdr>
        <w:shd w:val="clear" w:color="auto" w:fill="F2F6FA"/>
        <w:spacing w:after="40"/>
        <w:ind w:left="340"/>
        <w:jc w:val="both"/>
      </w:pPr>
      <w:r>
        <w:rPr>
          <w:rFonts w:ascii="Times New Roman" w:hAnsi="Times New Roman" w:eastAsia="宋体"/>
        </w:rPr>
        <w:t>真实使用中“教师建题、学生刷题”是用法分工，系统本身为两级权限模型，未按“教师/学生”做账号区隔（如需，可在管理端用户管理中按组区分，属规划项）。</w:t>
      </w:r>
    </w:p>
    <w:p>
      <w:pPr>
        <w:pBdr>
          <w:left w:val="single" w:sz="18" w:space="4" w:color="34618F"/>
        </w:pBdr>
        <w:shd w:val="clear" w:color="auto" w:fill="F2F6FA"/>
        <w:spacing w:after="40"/>
        <w:ind w:left="340"/>
        <w:jc w:val="both"/>
      </w:pPr>
      <w:r>
        <w:rPr>
          <w:rFonts w:ascii="Times New Roman" w:hAnsi="Times New Roman" w:eastAsia="宋体"/>
        </w:rPr>
        <w:br/>
      </w:r>
    </w:p>
    <w:p>
      <w:pPr>
        <w:pStyle w:val="Heading2"/>
      </w:pPr>
      <w:r>
        <w:rPr>
          <w:rFonts w:ascii="Times New Roman" w:hAnsi="Times New Roman" w:eastAsia="宋体"/>
          <w:b/>
        </w:rPr>
        <w:t>3.3 功能全景（均已实现，截至 v1.3.0）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7407A"/>
          <w:bottom w:val="single" w:sz="12" w:space="0" w:color="17407A"/>
          <w:insideH w:val="single" w:sz="4" w:space="0" w:color="C9D5E4"/>
          <w:insideV w:val="none" w:sz="0" w:space="0" w:color="FFFFFF"/>
          <w:left w:val="none" w:sz="0" w:space="0" w:color="FFFFFF"/>
          <w:right w:val="none" w:sz="0" w:space="0" w:color="FFFFFF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4535"/>
        <w:gridCol w:w="4535"/>
      </w:tblGrid>
      <w:tr>
        <w:trPr>
          <w:tblHeader w:val="true"/>
          <w:tblHeader w:val="true"/>
        </w:trPr>
        <w:tc>
          <w:tcPr>
            <w:tcW w:type="dxa" w:w="4535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模块</w:t>
            </w:r>
          </w:p>
        </w:tc>
        <w:tc>
          <w:tcPr>
            <w:tcW w:type="dxa" w:w="4535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功能要点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题目管理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单选/多选/填空/判断/简答 5 种题型；难度(1-5)、知识点标签、二级分类、题库归属；关键词检索、分页；增删改与批量删除</w:t>
            </w:r>
          </w:p>
        </w:tc>
      </w:tr>
      <w:tr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批量导入</w:t>
            </w:r>
          </w:p>
        </w:tc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Excel(.xlsx)/CSV（UTF-8 与 GBK 兼容）批量导入；下载模板（按题型三种模板 + 非模板化）；三步向导（上传→预览校验→导入），错误行标红跳过；事务化 + 失败行隔离；预览时可 AI 补全缺失的答案与解析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练习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顺序/随机/错题重做三种模式；按分类/题库/题型/难度筛选；练习中不展示答案防作弊；交卷自动判分；练习记录与详情</w:t>
            </w:r>
          </w:p>
        </w:tc>
      </w:tr>
      <w:tr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判分引擎</w:t>
            </w:r>
          </w:p>
        </w:tc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单选/多选/判断精确匹配；填空多空以分隔符判分；简答宽松匹配（规则确定性、可审计，详见 docs/03）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错题本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答错自动入本并累计错误次数；标记掌握/恢复/移除；错题重练；可收藏错题</w:t>
            </w:r>
          </w:p>
        </w:tc>
      </w:tr>
      <w:tr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收藏</w:t>
            </w:r>
          </w:p>
        </w:tc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一键收藏/取消，收藏夹分页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共享协作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题目/题库共享给指定用户或公开；只读/可编辑两级权限（可编辑可写回共享者原记录）；订阅（实时跟随）/退订/拷贝为本人副本（记录来源）；管理员可查看全部共享</w:t>
            </w:r>
          </w:p>
        </w:tc>
      </w:tr>
      <w:tr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统计看板</w:t>
            </w:r>
          </w:p>
        </w:tc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题目/分类/收藏/错题/练习总览；题型与难度分布；近两周正确率趋势；易错分类 Top5；管理员可按用户/全站筛选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AI 分析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①导入补全 ②单题质量分析 ③个人学情报告（详见第 5 章与 docs/03-AI技术应用说明.md）</w:t>
            </w:r>
          </w:p>
        </w:tc>
      </w:tr>
      <w:tr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界面主题</w:t>
            </w:r>
          </w:p>
        </w:tc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管理员维护多套前端样式（主色/侧栏/顶栏/背景/圆角等），内置 3 套种子主题；用户可自行切换；个人选择存本机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系统/安全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注册登录、JWT 鉴权 + 服务端会话白名单（重启失效）、BCrypt 密码哈希、登录限流、越权校验、CORS 可配置、异常信息脱敏</w:t>
            </w:r>
          </w:p>
        </w:tc>
      </w:tr>
      <w:tr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桌面端</w:t>
            </w:r>
          </w:p>
        </w:tc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Electron 打包 Windows(exe)/macOS(dmg)/Linux(AppImage/deb)；登录页可配置远程后端地址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轻量版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qbank-web：SpringBoot+Thymeleaf 服务端渲染版（分类/题库/题目管理 + 练习与错题本页面），低资源环境可选部署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/>
        </w:rPr>
        <w:t>3.4 核心价值主张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</w:rPr>
        <w:t>对教师/机构</w:t>
      </w:r>
      <w:r>
        <w:rPr>
          <w:rFonts w:ascii="Times New Roman" w:hAnsi="Times New Roman" w:eastAsia="宋体"/>
        </w:rPr>
        <w:t>：一次导入即建成题库；与同事共享协作出题（可写回合并）；班级学情一目了然；系统可部署在校内服务器，数据不出校。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</w:rPr>
        <w:t>对学生</w:t>
      </w:r>
      <w:r>
        <w:rPr>
          <w:rFonts w:ascii="Times New Roman" w:hAnsi="Times New Roman" w:eastAsia="宋体"/>
        </w:rPr>
        <w:t>：即时判分、错题自动沉淀、AI 学情报告给出薄弱点与练习建议，形成“练—错—补”的正向循环。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</w:rPr>
        <w:t>对学校信息化部门</w:t>
      </w:r>
      <w:r>
        <w:rPr>
          <w:rFonts w:ascii="Times New Roman" w:hAnsi="Times New Roman" w:eastAsia="宋体"/>
        </w:rPr>
        <w:t>：全开源可审计、无商业平台绑定、可定制可二次开发。</w:t>
      </w:r>
    </w:p>
    <w:p>
      <w:pPr>
        <w:pBdr>
          <w:bottom w:val="single" w:sz="4" w:space="1" w:color="C9D5E4"/>
        </w:pBdr>
        <w:spacing w:before="120" w:after="120"/>
      </w:pPr>
    </w:p>
    <w:p>
      <w:pPr>
        <w:pStyle w:val="Heading1"/>
      </w:pPr>
      <w:r>
        <w:rPr>
          <w:rFonts w:ascii="Times New Roman" w:hAnsi="Times New Roman" w:eastAsia="宋体"/>
          <w:b/>
        </w:rPr>
        <w:t>4. 技术方案（现状，可核查）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7407A"/>
          <w:bottom w:val="single" w:sz="12" w:space="0" w:color="17407A"/>
          <w:insideH w:val="single" w:sz="4" w:space="0" w:color="C9D5E4"/>
          <w:insideV w:val="none" w:sz="0" w:space="0" w:color="FFFFFF"/>
          <w:left w:val="none" w:sz="0" w:space="0" w:color="FFFFFF"/>
          <w:right w:val="none" w:sz="0" w:space="0" w:color="FFFFFF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4535"/>
        <w:gridCol w:w="4535"/>
      </w:tblGrid>
      <w:tr>
        <w:trPr>
          <w:tblHeader w:val="true"/>
          <w:tblHeader w:val="true"/>
        </w:trPr>
        <w:tc>
          <w:tcPr>
            <w:tcW w:type="dxa" w:w="4535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层</w:t>
            </w:r>
          </w:p>
        </w:tc>
        <w:tc>
          <w:tcPr>
            <w:tcW w:type="dxa" w:w="4535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技术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Vue 3（组合式）+ Vite 6 + Element Plus + Pinia + Vue Router + ECharts 5 + axios</w:t>
            </w:r>
          </w:p>
        </w:tc>
      </w:tr>
      <w:tr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桌面端</w:t>
            </w:r>
          </w:p>
        </w:tc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Electron 33（electron-builder 三平台打包）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后端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Spring Boot 3.4 + MyBatis + PageHelper + Apache POI（Excel 解析），Java 17，Maven</w:t>
            </w:r>
          </w:p>
        </w:tc>
      </w:tr>
      <w:tr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数据库</w:t>
            </w:r>
          </w:p>
        </w:tc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MySQL 8.0+（utf8mb4），12 张表；init.sql 一键初始化且幂等可重跑；upgrade.sql 支持存量库升级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鉴权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JWT（HMAC 签名，7 天有效期）+ 服务端内存白名单（登出即时失效、后端重启全部失效）</w:t>
            </w:r>
          </w:p>
        </w:tc>
      </w:tr>
      <w:tr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AI</w:t>
            </w:r>
          </w:p>
        </w:tc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前端浏览器本地直连任意 OpenAI 兼容大模型（默认 DeepSeek，支持本地 Ollama），配置/历史存本机浏览器，不经过本项目后端（详见 docs/03）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CI/CD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GitHub Actions：3 条工作流——release（v* 标签自动构建三平台安装包 + 后端 jar + 网页版 zip 并发布 Release）、beta 自动跟进、正式版一键发布</w:t>
            </w:r>
          </w:p>
        </w:tc>
      </w:tr>
      <w:tr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开源</w:t>
            </w:r>
          </w:p>
        </w:tc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MIT License，代码公开可审计</w:t>
            </w:r>
          </w:p>
        </w:tc>
      </w:tr>
    </w:tbl>
    <w:p>
      <w:pPr>
        <w:ind w:firstLine="440" w:firstLineChars="200"/>
        <w:jc w:val="both"/>
      </w:pPr>
      <w:r>
        <w:rPr>
          <w:rFonts w:ascii="Times New Roman" w:hAnsi="Times New Roman" w:eastAsia="宋体"/>
        </w:rPr>
        <w:t>规模（口径日，代码行数为含注释/空行的近似值）：仓库 100 次提交；后端主代码约 5,200 行 + 资源 800 行，前端约 5,000 行，服务端渲染版约 5,600 行，数据库脚本约 400 行；后端单元测试 17 个测试类、193 个测试方法。</w:t>
      </w:r>
    </w:p>
    <w:p>
      <w:pPr>
        <w:pBdr>
          <w:bottom w:val="single" w:sz="4" w:space="1" w:color="C9D5E4"/>
        </w:pBdr>
        <w:spacing w:before="120" w:after="120"/>
      </w:pPr>
    </w:p>
    <w:p>
      <w:pPr>
        <w:pStyle w:val="Heading1"/>
      </w:pPr>
      <w:r>
        <w:rPr>
          <w:rFonts w:ascii="Times New Roman" w:hAnsi="Times New Roman" w:eastAsia="宋体"/>
          <w:b/>
        </w:rPr>
        <w:t>5. AI 能力（本计划书摘要，详见专项说明 docs/03-AI技术应用说明.md）</w:t>
      </w:r>
    </w:p>
    <w:p>
      <w:pPr>
        <w:numPr>
          <w:ilvl w:val="0"/>
          <w:numId w:val="12"/>
        </w:numPr>
        <w:spacing w:after="40"/>
      </w:pPr>
      <w:r>
        <w:rPr>
          <w:rFonts w:ascii="Times New Roman" w:hAnsi="Times New Roman" w:eastAsia="宋体"/>
          <w:b/>
        </w:rPr>
        <w:t>AI 导入补全</w:t>
      </w:r>
      <w:r>
        <w:rPr>
          <w:rFonts w:ascii="Times New Roman" w:hAnsi="Times New Roman" w:eastAsia="宋体"/>
        </w:rPr>
        <w:t>：批量导入预览时，对缺答案/解析的行调用大模型补全（单次 ≤ 50 行），结果写入预览可人工编辑后入库，失败行提示人工补充。</w:t>
      </w:r>
    </w:p>
    <w:p>
      <w:pPr>
        <w:numPr>
          <w:ilvl w:val="0"/>
          <w:numId w:val="12"/>
        </w:numPr>
        <w:spacing w:after="40"/>
      </w:pPr>
      <w:r>
        <w:rPr>
          <w:rFonts w:ascii="Times New Roman" w:hAnsi="Times New Roman" w:eastAsia="宋体"/>
          <w:b/>
        </w:rPr>
        <w:t>AI 题目质量分析</w:t>
      </w:r>
      <w:r>
        <w:rPr>
          <w:rFonts w:ascii="Times New Roman" w:hAnsi="Times New Roman" w:eastAsia="宋体"/>
        </w:rPr>
        <w:t>：对单题分析“考查知识点 / 难度(1-5)及理由 / 表述清晰度与改进建议 / 解题思路提示（不直接给完整答案，防刷题作弊）”。</w:t>
      </w:r>
    </w:p>
    <w:p>
      <w:pPr>
        <w:numPr>
          <w:ilvl w:val="0"/>
          <w:numId w:val="12"/>
        </w:numPr>
        <w:spacing w:after="40"/>
      </w:pPr>
      <w:r>
        <w:rPr>
          <w:rFonts w:ascii="Times New Roman" w:hAnsi="Times New Roman" w:eastAsia="宋体"/>
          <w:b/>
        </w:rPr>
        <w:t>AI 学情报告</w:t>
      </w:r>
      <w:r>
        <w:rPr>
          <w:rFonts w:ascii="Times New Roman" w:hAnsi="Times New Roman" w:eastAsia="宋体"/>
        </w:rPr>
        <w:t>：基于本人统计数据（正确率、错题分类、趋势）生成总体评价、薄弱点、学习建议与练习计划。</w:t>
      </w:r>
    </w:p>
    <w:p>
      <w:pPr>
        <w:ind w:firstLine="440" w:firstLineChars="200"/>
        <w:jc w:val="both"/>
      </w:pPr>
      <w:r>
        <w:rPr>
          <w:rFonts w:ascii="Times New Roman" w:hAnsi="Times New Roman" w:eastAsia="宋体"/>
          <w:b/>
        </w:rPr>
        <w:t>AI 架构与边界（核心卖点之一）</w:t>
      </w:r>
      <w:r>
        <w:rPr>
          <w:rFonts w:ascii="Times New Roman" w:hAnsi="Times New Roman" w:eastAsia="宋体"/>
        </w:rPr>
        <w:t>：AI 调用由</w:t>
      </w:r>
      <w:r>
        <w:rPr>
          <w:rFonts w:ascii="Times New Roman" w:hAnsi="Times New Roman" w:eastAsia="宋体"/>
          <w:b/>
        </w:rPr>
        <w:t>前端浏览器直连用户自选的大模型服务商</w:t>
      </w:r>
      <w:r>
        <w:rPr>
          <w:rFonts w:ascii="Times New Roman" w:hAnsi="Times New Roman" w:eastAsia="宋体"/>
        </w:rPr>
        <w:t>完成（Key 存用户本机浏览器，不落本项目服务器），因此：</w:t>
        <w:br/>
        <w:t>- 支持 DeepSeek/OpenAI/阿里云百炼/智谱/Kimi/SiliconFlow 等任意 OpenAI 兼容服务，或本地 Ollama（数据完全不出内网）；</w:t>
        <w:br/>
        <w:t>- 题目内容只在该用户点击“分析/补全”时发送，系统无隐式上传、无批量收集；</w:t>
        <w:br/>
        <w:t>- 判分、权限、统计等核心逻辑全部为确定性代码，</w:t>
      </w:r>
      <w:r>
        <w:rPr>
          <w:rFonts w:ascii="Times New Roman" w:hAnsi="Times New Roman" w:eastAsia="宋体"/>
          <w:b/>
        </w:rPr>
        <w:t>AI 不参与任何自动决策、不直接修改数据库</w:t>
      </w:r>
      <w:r>
        <w:rPr>
          <w:rFonts w:ascii="Times New Roman" w:hAnsi="Times New Roman" w:eastAsia="宋体"/>
        </w:rPr>
        <w:t>（详见 03 号文档的伦理与可解释性章节）。</w:t>
      </w:r>
    </w:p>
    <w:p>
      <w:pPr>
        <w:ind w:firstLine="440" w:firstLineChars="200"/>
        <w:jc w:val="both"/>
      </w:pPr>
      <w:r>
        <w:rPr>
          <w:rFonts w:ascii="Times New Roman" w:hAnsi="Times New Roman" w:eastAsia="宋体"/>
          <w:b/>
        </w:rPr>
        <w:t>愿景（规划）</w:t>
      </w:r>
      <w:r>
        <w:rPr>
          <w:rFonts w:ascii="Times New Roman" w:hAnsi="Times New Roman" w:eastAsia="宋体"/>
        </w:rPr>
        <w:t>：基于现有闭环进一步实现智能组卷与个性化出题（见第 9 章路线图）。</w:t>
      </w:r>
    </w:p>
    <w:p>
      <w:pPr>
        <w:pBdr>
          <w:bottom w:val="single" w:sz="4" w:space="1" w:color="C9D5E4"/>
        </w:pBdr>
        <w:spacing w:before="120" w:after="120"/>
      </w:pPr>
    </w:p>
    <w:p>
      <w:pPr>
        <w:pStyle w:val="Heading1"/>
      </w:pPr>
      <w:r>
        <w:rPr>
          <w:rFonts w:ascii="Times New Roman" w:hAnsi="Times New Roman" w:eastAsia="宋体"/>
          <w:b/>
        </w:rPr>
        <w:t>6. 竞争分析</w:t>
      </w:r>
    </w:p>
    <w:p>
      <w:pPr>
        <w:pStyle w:val="Heading2"/>
      </w:pPr>
      <w:r>
        <w:rPr>
          <w:rFonts w:ascii="Times New Roman" w:hAnsi="Times New Roman" w:eastAsia="宋体"/>
          <w:b/>
        </w:rPr>
        <w:t>6.1 主要竞争/替代类别（分类事实来源于项目方调研视角）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7407A"/>
          <w:bottom w:val="single" w:sz="12" w:space="0" w:color="17407A"/>
          <w:insideH w:val="single" w:sz="4" w:space="0" w:color="C9D5E4"/>
          <w:insideV w:val="none" w:sz="0" w:space="0" w:color="FFFFFF"/>
          <w:left w:val="none" w:sz="0" w:space="0" w:color="FFFFFF"/>
          <w:right w:val="none" w:sz="0" w:space="0" w:color="FFFFFF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3024"/>
        <w:gridCol w:w="3024"/>
        <w:gridCol w:w="3024"/>
      </w:tblGrid>
      <w:tr>
        <w:trPr>
          <w:tblHeader w:val="true"/>
          <w:tblHeader w:val="true"/>
          <w:tblHeader w:val="true"/>
        </w:trPr>
        <w:tc>
          <w:tcPr>
            <w:tcW w:type="dxa" w:w="3024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类别</w:t>
            </w:r>
          </w:p>
        </w:tc>
        <w:tc>
          <w:tcPr>
            <w:tcW w:type="dxa" w:w="3024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代表（举例）</w:t>
            </w:r>
          </w:p>
        </w:tc>
        <w:tc>
          <w:tcPr>
            <w:tcW w:type="dxa" w:w="3024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与本项目差异</w:t>
            </w:r>
          </w:p>
        </w:tc>
      </w:tr>
      <w:tr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商业在线题库平台</w:t>
            </w:r>
          </w:p>
        </w:tc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学科网、猿题库等</w:t>
            </w:r>
          </w:p>
        </w:tc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免费开源、可私有化、数据自主；功能聚焦“自建题库 + 练习闭环”而非内容售卖</w:t>
            </w:r>
          </w:p>
        </w:tc>
      </w:tr>
      <w:tr>
        <w:tc>
          <w:tcPr>
            <w:tcW w:type="dxa" w:w="3024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问卷/表单工具</w:t>
            </w:r>
          </w:p>
        </w:tc>
        <w:tc>
          <w:tcPr>
            <w:tcW w:type="dxa" w:w="3024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问卷星等</w:t>
            </w:r>
          </w:p>
        </w:tc>
        <w:tc>
          <w:tcPr>
            <w:tcW w:type="dxa" w:w="3024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本项目聚焦“练与学”完整闭环：自动判分、错题本、学情统计、共享协作，而非表单收集</w:t>
            </w:r>
          </w:p>
        </w:tc>
      </w:tr>
      <w:tr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各校/机构自建系统</w:t>
            </w:r>
          </w:p>
        </w:tc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校内旧题库系统</w:t>
            </w:r>
          </w:p>
        </w:tc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本项目交付即用（一键初始化）、开源可改、含 AI 增强，维护成本低</w:t>
            </w:r>
          </w:p>
        </w:tc>
      </w:tr>
      <w:tr>
        <w:tc>
          <w:tcPr>
            <w:tcW w:type="dxa" w:w="3024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通用大模型聊天工具</w:t>
            </w:r>
          </w:p>
        </w:tc>
        <w:tc>
          <w:tcPr>
            <w:tcW w:type="dxa" w:w="3024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ChatGPT/DeepSeek 等</w:t>
            </w:r>
          </w:p>
        </w:tc>
        <w:tc>
          <w:tcPr>
            <w:tcW w:type="dxa" w:w="3024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本项目将 AI 与“题目管理—练习数据”结合（基于用户真实练习数据的学情报告），并提供题库工作流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/>
        </w:rPr>
        <w:t>6.2 差异化总结</w:t>
      </w:r>
    </w:p>
    <w:p>
      <w:pPr>
        <w:numPr>
          <w:ilvl w:val="0"/>
          <w:numId w:val="13"/>
        </w:numPr>
        <w:spacing w:after="40"/>
      </w:pPr>
      <w:r>
        <w:rPr>
          <w:rFonts w:ascii="Times New Roman" w:hAnsi="Times New Roman" w:eastAsia="宋体"/>
          <w:b/>
        </w:rPr>
        <w:t>开源免费 + MIT</w:t>
      </w:r>
      <w:r>
        <w:rPr>
          <w:rFonts w:ascii="Times New Roman" w:hAnsi="Times New Roman" w:eastAsia="宋体"/>
        </w:rPr>
        <w:t>：可自由使用、修改、商用，无供应商锁定。</w:t>
      </w:r>
    </w:p>
    <w:p>
      <w:pPr>
        <w:numPr>
          <w:ilvl w:val="0"/>
          <w:numId w:val="13"/>
        </w:numPr>
        <w:spacing w:after="40"/>
      </w:pPr>
      <w:r>
        <w:rPr>
          <w:rFonts w:ascii="Times New Roman" w:hAnsi="Times New Roman" w:eastAsia="宋体"/>
          <w:b/>
        </w:rPr>
        <w:t>私有化部署、数据自主</w:t>
      </w:r>
      <w:r>
        <w:rPr>
          <w:rFonts w:ascii="Times New Roman" w:hAnsi="Times New Roman" w:eastAsia="宋体"/>
        </w:rPr>
        <w:t>：MySQL 单库即可跑通，适合校园内网/信创环境（规划适配信创需补国产化数据库适配验证【待验证】）。</w:t>
      </w:r>
    </w:p>
    <w:p>
      <w:pPr>
        <w:numPr>
          <w:ilvl w:val="0"/>
          <w:numId w:val="13"/>
        </w:numPr>
        <w:spacing w:after="40"/>
      </w:pPr>
      <w:r>
        <w:rPr>
          <w:rFonts w:ascii="Times New Roman" w:hAnsi="Times New Roman" w:eastAsia="宋体"/>
          <w:b/>
        </w:rPr>
        <w:t>AI 开放接入</w:t>
      </w:r>
      <w:r>
        <w:rPr>
          <w:rFonts w:ascii="Times New Roman" w:hAnsi="Times New Roman" w:eastAsia="宋体"/>
        </w:rPr>
        <w:t>：不绑定模型厂商；Key 归用户、直连第三方，甚至可接本地模型实现数据不出域。</w:t>
      </w:r>
    </w:p>
    <w:p>
      <w:pPr>
        <w:numPr>
          <w:ilvl w:val="0"/>
          <w:numId w:val="13"/>
        </w:numPr>
        <w:spacing w:after="40"/>
      </w:pPr>
      <w:r>
        <w:rPr>
          <w:rFonts w:ascii="Times New Roman" w:hAnsi="Times New Roman" w:eastAsia="宋体"/>
          <w:b/>
        </w:rPr>
        <w:t>产品克制、闭环完整</w:t>
      </w:r>
      <w:r>
        <w:rPr>
          <w:rFonts w:ascii="Times New Roman" w:hAnsi="Times New Roman" w:eastAsia="宋体"/>
        </w:rPr>
        <w:t>：不做大而全的内容商城，把“导入—练习—错题—报告”做到位。</w:t>
      </w:r>
    </w:p>
    <w:p>
      <w:pPr>
        <w:numPr>
          <w:ilvl w:val="0"/>
          <w:numId w:val="13"/>
        </w:numPr>
        <w:spacing w:after="40"/>
      </w:pPr>
      <w:r>
        <w:rPr>
          <w:rFonts w:ascii="Times New Roman" w:hAnsi="Times New Roman" w:eastAsia="宋体"/>
          <w:b/>
        </w:rPr>
        <w:t>工程化完整</w:t>
      </w:r>
      <w:r>
        <w:rPr>
          <w:rFonts w:ascii="Times New Roman" w:hAnsi="Times New Roman" w:eastAsia="宋体"/>
        </w:rPr>
        <w:t>：自动化发布、版本记录、193 项单元测试、数据库幂等脚本——中小团队产品少见的工程成熟度。</w:t>
      </w:r>
    </w:p>
    <w:p>
      <w:pPr>
        <w:pStyle w:val="Heading2"/>
      </w:pPr>
      <w:r>
        <w:rPr>
          <w:rFonts w:ascii="Times New Roman" w:hAnsi="Times New Roman" w:eastAsia="宋体"/>
          <w:b/>
        </w:rPr>
        <w:t>6.3 竞争风险（如实说明）</w:t>
      </w:r>
    </w:p>
    <w:p>
      <w:pPr>
        <w:ind w:firstLine="440" w:firstLineChars="200"/>
        <w:jc w:val="both"/>
      </w:pPr>
      <w:r>
        <w:rPr>
          <w:rFonts w:ascii="Times New Roman" w:hAnsi="Times New Roman" w:eastAsia="宋体"/>
        </w:rPr>
        <w:t>本项目当前</w:t>
      </w:r>
      <w:r>
        <w:rPr>
          <w:rFonts w:ascii="Times New Roman" w:hAnsi="Times New Roman" w:eastAsia="宋体"/>
          <w:b/>
        </w:rPr>
        <w:t>不内置版权题库内容</w:t>
      </w:r>
      <w:r>
        <w:rPr>
          <w:rFonts w:ascii="Times New Roman" w:hAnsi="Times New Roman" w:eastAsia="宋体"/>
        </w:rPr>
        <w:t>（内容由用户自己导入），与内容型平台（学科网等）不是同一竞争维度——这是刻意选择（规避版权与内容运营门槛），也意味着</w:t>
      </w:r>
      <w:r>
        <w:rPr>
          <w:rFonts w:ascii="Times New Roman" w:hAnsi="Times New Roman" w:eastAsia="宋体"/>
          <w:b/>
        </w:rPr>
        <w:t>获客不能靠内容，要靠工具口碑与场景渠道</w:t>
      </w:r>
      <w:r>
        <w:rPr>
          <w:rFonts w:ascii="Times New Roman" w:hAnsi="Times New Roman" w:eastAsia="宋体"/>
        </w:rPr>
        <w:t>（见第 8 章）。</w:t>
      </w:r>
    </w:p>
    <w:p>
      <w:pPr>
        <w:pBdr>
          <w:bottom w:val="single" w:sz="4" w:space="1" w:color="C9D5E4"/>
        </w:pBdr>
        <w:spacing w:before="120" w:after="120"/>
      </w:pPr>
    </w:p>
    <w:p>
      <w:pPr>
        <w:pStyle w:val="Heading1"/>
      </w:pPr>
      <w:r>
        <w:rPr>
          <w:rFonts w:ascii="Times New Roman" w:hAnsi="Times New Roman" w:eastAsia="宋体"/>
          <w:b/>
        </w:rPr>
        <w:t>7. 商业模式（现状 + 规划）</w:t>
      </w:r>
    </w:p>
    <w:p>
      <w:pPr>
        <w:pStyle w:val="Heading2"/>
      </w:pPr>
      <w:r>
        <w:rPr>
          <w:rFonts w:ascii="Times New Roman" w:hAnsi="Times New Roman" w:eastAsia="宋体"/>
          <w:b/>
        </w:rPr>
        <w:t>7.1 现状（事实）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完全</w:t>
      </w:r>
      <w:r>
        <w:rPr>
          <w:rFonts w:ascii="Times New Roman" w:hAnsi="Times New Roman" w:eastAsia="宋体"/>
          <w:b/>
        </w:rPr>
        <w:t>开源免费</w:t>
      </w:r>
      <w:r>
        <w:rPr>
          <w:rFonts w:ascii="Times New Roman" w:hAnsi="Times New Roman" w:eastAsia="宋体"/>
        </w:rPr>
        <w:t>（MIT），无任何收费功能、无广告、无用户付费。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无企业主体、无付费客户、无外部投资（截至口径日期）。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已有可验证的“产品资产”：8 个公开 Release、三平台安装包、完整文档与自动化发布流水线。</w:t>
      </w:r>
    </w:p>
    <w:p>
      <w:pPr>
        <w:pStyle w:val="Heading2"/>
      </w:pPr>
      <w:r>
        <w:rPr>
          <w:rFonts w:ascii="Times New Roman" w:hAnsi="Times New Roman" w:eastAsia="宋体"/>
          <w:b/>
        </w:rPr>
        <w:t>7.2 商业模式规划（以下均为</w:t>
      </w:r>
      <w:r>
        <w:rPr>
          <w:rFonts w:ascii="Times New Roman" w:hAnsi="Times New Roman" w:eastAsia="宋体"/>
          <w:b/>
        </w:rPr>
        <w:t>规划假设</w:t>
      </w:r>
      <w:r>
        <w:rPr>
          <w:rFonts w:ascii="Times New Roman" w:hAnsi="Times New Roman" w:eastAsia="宋体"/>
          <w:b/>
        </w:rPr>
        <w:t>，未实施；定价数字为占位假设，请团队验证后填写）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7407A"/>
          <w:bottom w:val="single" w:sz="12" w:space="0" w:color="17407A"/>
          <w:insideH w:val="single" w:sz="4" w:space="0" w:color="C9D5E4"/>
          <w:insideV w:val="none" w:sz="0" w:space="0" w:color="FFFFFF"/>
          <w:left w:val="none" w:sz="0" w:space="0" w:color="FFFFFF"/>
          <w:right w:val="none" w:sz="0" w:space="0" w:color="FFFFFF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3024"/>
        <w:gridCol w:w="3024"/>
        <w:gridCol w:w="3024"/>
      </w:tblGrid>
      <w:tr>
        <w:trPr>
          <w:tblHeader w:val="true"/>
          <w:tblHeader w:val="true"/>
          <w:tblHeader w:val="true"/>
        </w:trPr>
        <w:tc>
          <w:tcPr>
            <w:tcW w:type="dxa" w:w="3024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路径</w:t>
            </w:r>
          </w:p>
        </w:tc>
        <w:tc>
          <w:tcPr>
            <w:tcW w:type="dxa" w:w="3024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  <w:tc>
          <w:tcPr>
            <w:tcW w:type="dxa" w:w="3024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定价（假设，占位）</w:t>
            </w:r>
          </w:p>
        </w:tc>
      </w:tr>
      <w:tr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① 开源社区版</w:t>
            </w:r>
          </w:p>
        </w:tc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现有功能免费开源，积累口碑与学校案例</w:t>
            </w:r>
          </w:p>
        </w:tc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免费</w:t>
            </w:r>
          </w:p>
        </w:tc>
      </w:tr>
      <w:tr>
        <w:tc>
          <w:tcPr>
            <w:tcW w:type="dxa" w:w="3024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② SaaS 托管版</w:t>
            </w:r>
          </w:p>
        </w:tc>
        <w:tc>
          <w:tcPr>
            <w:tcW w:type="dxa" w:w="3024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团队部署的云服务：开箱即用、自动备份、升级维护（需先完成 ICP 备案/等保等合规评估【合规评估】）</w:t>
            </w:r>
          </w:p>
        </w:tc>
        <w:tc>
          <w:tcPr>
            <w:tcW w:type="dxa" w:w="3024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【定价假设，如按班级/按年订阅，每位教师 ¥XXX/年】</w:t>
            </w:r>
          </w:p>
        </w:tc>
      </w:tr>
      <w:tr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③ 私有化部署授权</w:t>
            </w:r>
          </w:p>
        </w:tc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向学校/机构交付部署包 + 实施培训 + 一年技术支持（可与校内机房/教育信息化采购衔接）</w:t>
            </w:r>
          </w:p>
        </w:tc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【定价假设，如单校一次性授权 ¥X,XXX ~ ¥XX,XXX + 年维护费】</w:t>
            </w:r>
          </w:p>
        </w:tc>
      </w:tr>
      <w:tr>
        <w:tc>
          <w:tcPr>
            <w:tcW w:type="dxa" w:w="3024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④ 定制开发服务</w:t>
            </w:r>
          </w:p>
        </w:tc>
        <w:tc>
          <w:tcPr>
            <w:tcW w:type="dxa" w:w="3024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按机构需求定制（对接教务系统、国产化适配、题库内容治理）</w:t>
            </w:r>
          </w:p>
        </w:tc>
        <w:tc>
          <w:tcPr>
            <w:tcW w:type="dxa" w:w="3024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按人天报价【占位】</w:t>
            </w:r>
          </w:p>
        </w:tc>
      </w:tr>
      <w:tr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⑤ 培训与内容服务（远期）</w:t>
            </w:r>
          </w:p>
        </w:tc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教师出题培训、校本题库共建（需明确内容版权归属条款）</w:t>
            </w:r>
          </w:p>
        </w:tc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【占位】</w:t>
            </w:r>
          </w:p>
        </w:tc>
      </w:tr>
    </w:tbl>
    <w:p>
      <w:pPr>
        <w:pBdr>
          <w:left w:val="single" w:sz="18" w:space="4" w:color="34618F"/>
        </w:pBdr>
        <w:shd w:val="clear" w:color="auto" w:fill="F2F6FA"/>
        <w:spacing w:after="40"/>
        <w:ind w:left="340"/>
        <w:jc w:val="both"/>
      </w:pPr>
      <w:r>
        <w:rPr>
          <w:rFonts w:ascii="Times New Roman" w:hAnsi="Times New Roman" w:eastAsia="宋体"/>
        </w:rPr>
        <w:br/>
      </w:r>
    </w:p>
    <w:p>
      <w:pPr>
        <w:pBdr>
          <w:left w:val="single" w:sz="18" w:space="4" w:color="34618F"/>
        </w:pBdr>
        <w:shd w:val="clear" w:color="auto" w:fill="F2F6FA"/>
        <w:spacing w:after="40"/>
        <w:ind w:left="340"/>
        <w:jc w:val="both"/>
      </w:pPr>
      <w:r>
        <w:rPr>
          <w:rFonts w:ascii="Times New Roman" w:hAnsi="Times New Roman" w:eastAsia="宋体"/>
        </w:rPr>
        <w:t>建议顺序：先靠 ① 拿案例与口碑 → 再以 ③ 切入 1~2 所试点学校（见 04 号文档“合作协议”准备）→ SaaS 版视合规成本再评估。</w:t>
      </w:r>
    </w:p>
    <w:p>
      <w:pPr>
        <w:pBdr>
          <w:left w:val="single" w:sz="18" w:space="4" w:color="34618F"/>
        </w:pBdr>
        <w:shd w:val="clear" w:color="auto" w:fill="F2F6FA"/>
        <w:spacing w:after="40"/>
        <w:ind w:left="340"/>
        <w:jc w:val="both"/>
      </w:pPr>
      <w:r>
        <w:rPr>
          <w:rFonts w:ascii="Times New Roman" w:hAnsi="Times New Roman" w:eastAsia="宋体"/>
        </w:rPr>
        <w:br/>
      </w:r>
    </w:p>
    <w:p>
      <w:pPr>
        <w:pBdr>
          <w:bottom w:val="single" w:sz="4" w:space="1" w:color="C9D5E4"/>
        </w:pBdr>
        <w:spacing w:before="120" w:after="120"/>
      </w:pPr>
    </w:p>
    <w:p>
      <w:pPr>
        <w:pStyle w:val="Heading1"/>
      </w:pPr>
      <w:r>
        <w:rPr>
          <w:rFonts w:ascii="Times New Roman" w:hAnsi="Times New Roman" w:eastAsia="宋体"/>
          <w:b/>
        </w:rPr>
        <w:t>8. 市场策略与获客（规划）</w:t>
      </w:r>
    </w:p>
    <w:p>
      <w:pPr>
        <w:numPr>
          <w:ilvl w:val="0"/>
          <w:numId w:val="14"/>
        </w:numPr>
        <w:spacing w:after="40"/>
      </w:pPr>
      <w:r>
        <w:rPr>
          <w:rFonts w:ascii="Times New Roman" w:hAnsi="Times New Roman" w:eastAsia="宋体"/>
          <w:b/>
        </w:rPr>
        <w:t>校园场景切入（重点）</w:t>
      </w:r>
      <w:r>
        <w:rPr>
          <w:rFonts w:ascii="Times New Roman" w:hAnsi="Times New Roman" w:eastAsia="宋体"/>
        </w:rPr>
        <w:t>：依托团队成员所在高校，与任课教师/实验室共建试点题库（如《软件工程》《程序设计》课程题库），形成“校内试点 → 教师口碑 → 其他院系/兄弟院校”的扩散路径。【试点单位/对接人：占位】</w:t>
      </w:r>
    </w:p>
    <w:p>
      <w:pPr>
        <w:numPr>
          <w:ilvl w:val="0"/>
          <w:numId w:val="14"/>
        </w:numPr>
        <w:spacing w:after="40"/>
      </w:pPr>
      <w:r>
        <w:rPr>
          <w:rFonts w:ascii="Times New Roman" w:hAnsi="Times New Roman" w:eastAsia="宋体"/>
          <w:b/>
        </w:rPr>
        <w:t>开源渠道</w:t>
      </w:r>
      <w:r>
        <w:rPr>
          <w:rFonts w:ascii="Times New Roman" w:hAnsi="Times New Roman" w:eastAsia="宋体"/>
        </w:rPr>
        <w:t>：在 GitHub/掘金/知乎等发布使用教程与案例文章；参与高校开源活动、教育信息化类竞赛【竞赛名称占位】。</w:t>
      </w:r>
    </w:p>
    <w:p>
      <w:pPr>
        <w:numPr>
          <w:ilvl w:val="0"/>
          <w:numId w:val="14"/>
        </w:numPr>
        <w:spacing w:after="40"/>
      </w:pPr>
      <w:r>
        <w:rPr>
          <w:rFonts w:ascii="Times New Roman" w:hAnsi="Times New Roman" w:eastAsia="宋体"/>
          <w:b/>
        </w:rPr>
        <w:t>教师群体渠道</w:t>
      </w:r>
      <w:r>
        <w:rPr>
          <w:rFonts w:ascii="Times New Roman" w:hAnsi="Times New Roman" w:eastAsia="宋体"/>
        </w:rPr>
        <w:t>：教师培训、教研室活动演示；提供“10 分钟建好一门课题库”的模板包。</w:t>
      </w:r>
    </w:p>
    <w:p>
      <w:pPr>
        <w:numPr>
          <w:ilvl w:val="0"/>
          <w:numId w:val="14"/>
        </w:numPr>
        <w:spacing w:after="40"/>
      </w:pPr>
      <w:r>
        <w:rPr>
          <w:rFonts w:ascii="Times New Roman" w:hAnsi="Times New Roman" w:eastAsia="宋体"/>
          <w:b/>
        </w:rPr>
        <w:t>学生群体</w:t>
      </w:r>
      <w:r>
        <w:rPr>
          <w:rFonts w:ascii="Times New Roman" w:hAnsi="Times New Roman" w:eastAsia="宋体"/>
        </w:rPr>
        <w:t>：考试季错题重练场景的自然传播。</w:t>
      </w:r>
    </w:p>
    <w:p>
      <w:pPr>
        <w:pBdr>
          <w:bottom w:val="single" w:sz="4" w:space="1" w:color="C9D5E4"/>
        </w:pBdr>
        <w:spacing w:before="120" w:after="120"/>
      </w:pPr>
    </w:p>
    <w:p>
      <w:pPr>
        <w:pStyle w:val="Heading1"/>
      </w:pPr>
      <w:r>
        <w:rPr>
          <w:rFonts w:ascii="Times New Roman" w:hAnsi="Times New Roman" w:eastAsia="宋体"/>
          <w:b/>
        </w:rPr>
        <w:t>9. 发展规划</w:t>
      </w:r>
    </w:p>
    <w:p>
      <w:pPr>
        <w:pStyle w:val="Heading2"/>
      </w:pPr>
      <w:r>
        <w:rPr>
          <w:rFonts w:ascii="Times New Roman" w:hAnsi="Times New Roman" w:eastAsia="宋体"/>
          <w:b/>
        </w:rPr>
        <w:t>9.1 已完成（事实）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7407A"/>
          <w:bottom w:val="single" w:sz="12" w:space="0" w:color="17407A"/>
          <w:insideH w:val="single" w:sz="4" w:space="0" w:color="C9D5E4"/>
          <w:insideV w:val="none" w:sz="0" w:space="0" w:color="FFFFFF"/>
          <w:left w:val="none" w:sz="0" w:space="0" w:color="FFFFFF"/>
          <w:right w:val="none" w:sz="0" w:space="0" w:color="FFFFFF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4535"/>
        <w:gridCol w:w="4535"/>
      </w:tblGrid>
      <w:tr>
        <w:trPr>
          <w:tblHeader w:val="true"/>
          <w:tblHeader w:val="true"/>
        </w:trPr>
        <w:tc>
          <w:tcPr>
            <w:tcW w:type="dxa" w:w="4535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时间（仓库记录）</w:t>
            </w:r>
          </w:p>
        </w:tc>
        <w:tc>
          <w:tcPr>
            <w:tcW w:type="dxa" w:w="4535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里程碑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2026-08-29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GitHub 仓库公开并发布 v1.0.0；同日连续发布 v1.0.1/v1.0.2/v1.1.0/v1.1.1（题目管理/导入/练习闭环/共享协作/统计/AI 本地直连/BCrypt 与限流等安全加固）</w:t>
            </w:r>
          </w:p>
        </w:tc>
      </w:tr>
      <w:tr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2026-08-31</w:t>
            </w:r>
          </w:p>
        </w:tc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v1.1.2（三种导入模板、按需引入体积优化）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2026-09-03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v1.2.0（界面主题系统、JWT 会话白名单）；v1.3.0-beta.1（服务端渲染轻量版 qbank-web、共享状态展示）</w:t>
            </w:r>
          </w:p>
        </w:tc>
      </w:tr>
      <w:tr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2026-09-09</w:t>
            </w:r>
          </w:p>
        </w:tc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v1.3.0 正式版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（首个由发布工作流端到端完成的正式版：自动 bump 版本、快进 main、打标签、打包发布；Release 产物新增服务端渲染版 qbank-web-ssr jar）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进行中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dev 分支持续迭代；每满 10 个提交自动发 beta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/>
        </w:rPr>
        <w:t>9.2 下一步（规划，按优先级）</w:t>
      </w:r>
    </w:p>
    <w:p>
      <w:pPr>
        <w:numPr>
          <w:ilvl w:val="0"/>
          <w:numId w:val="15"/>
        </w:numPr>
        <w:spacing w:after="40"/>
      </w:pPr>
      <w:r>
        <w:rPr>
          <w:rFonts w:ascii="Times New Roman" w:hAnsi="Times New Roman" w:eastAsia="宋体"/>
          <w:b/>
        </w:rPr>
        <w:t>近期（1~2 个月）</w:t>
      </w:r>
      <w:r>
        <w:rPr>
          <w:rFonts w:ascii="Times New Roman" w:hAnsi="Times New Roman" w:eastAsia="宋体"/>
        </w:rPr>
        <w:t>：完成 1~2 个真实课程题库试点并收集教师/学生反馈【反馈记录占位】；补齐 v1.4 需求池（如练习计划、导出试卷 Word/PDF【规划，未实现】）。</w:t>
      </w:r>
    </w:p>
    <w:p>
      <w:pPr>
        <w:numPr>
          <w:ilvl w:val="0"/>
          <w:numId w:val="15"/>
        </w:numPr>
        <w:spacing w:after="40"/>
      </w:pPr>
      <w:r>
        <w:rPr>
          <w:rFonts w:ascii="Times New Roman" w:hAnsi="Times New Roman" w:eastAsia="宋体"/>
          <w:b/>
        </w:rPr>
        <w:t>中期（一个学期内）</w:t>
      </w:r>
      <w:r>
        <w:rPr>
          <w:rFonts w:ascii="Times New Roman" w:hAnsi="Times New Roman" w:eastAsia="宋体"/>
        </w:rPr>
        <w:t>：智能组卷（按知识点/难度/题型比例自动抽卷，基于现有统计与筛选能力扩展【规划】）；试点学校私有化部署 1 所【占位】。</w:t>
      </w:r>
    </w:p>
    <w:p>
      <w:pPr>
        <w:numPr>
          <w:ilvl w:val="0"/>
          <w:numId w:val="15"/>
        </w:numPr>
        <w:spacing w:after="40"/>
      </w:pPr>
      <w:r>
        <w:rPr>
          <w:rFonts w:ascii="Times New Roman" w:hAnsi="Times New Roman" w:eastAsia="宋体"/>
          <w:b/>
        </w:rPr>
        <w:t>远期</w:t>
      </w:r>
      <w:r>
        <w:rPr>
          <w:rFonts w:ascii="Times New Roman" w:hAnsi="Times New Roman" w:eastAsia="宋体"/>
        </w:rPr>
        <w:t>：个性化出题/学习路径推荐；多学校共享联盟与优质题库治理机制（版权规则先行【规划】）。</w:t>
      </w:r>
    </w:p>
    <w:p>
      <w:pPr>
        <w:pBdr>
          <w:bottom w:val="single" w:sz="4" w:space="1" w:color="C9D5E4"/>
        </w:pBdr>
        <w:spacing w:before="120" w:after="120"/>
      </w:pPr>
    </w:p>
    <w:p>
      <w:pPr>
        <w:pStyle w:val="Heading1"/>
      </w:pPr>
      <w:r>
        <w:rPr>
          <w:rFonts w:ascii="Times New Roman" w:hAnsi="Times New Roman" w:eastAsia="宋体"/>
          <w:b/>
        </w:rPr>
        <w:t>10. 团队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7407A"/>
          <w:bottom w:val="single" w:sz="12" w:space="0" w:color="17407A"/>
          <w:insideH w:val="single" w:sz="4" w:space="0" w:color="C9D5E4"/>
          <w:insideV w:val="none" w:sz="0" w:space="0" w:color="FFFFFF"/>
          <w:left w:val="none" w:sz="0" w:space="0" w:color="FFFFFF"/>
          <w:right w:val="none" w:sz="0" w:space="0" w:color="FFFFFF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268"/>
        <w:gridCol w:w="2268"/>
        <w:gridCol w:w="2268"/>
        <w:gridCol w:w="2268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2268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2268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成员（占位，请如实填写）</w:t>
            </w:r>
          </w:p>
        </w:tc>
        <w:tc>
          <w:tcPr>
            <w:tcW w:type="dxa" w:w="2268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分工建议（按实际填写）</w:t>
            </w:r>
          </w:p>
        </w:tc>
        <w:tc>
          <w:tcPr>
            <w:tcW w:type="dxa" w:w="2268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队长/产品</w:t>
            </w:r>
          </w:p>
        </w:tc>
        <w:tc>
          <w:tcPr>
            <w:tcW w:type="dxa" w:w="2268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【成员A·姓名】</w:t>
            </w:r>
          </w:p>
        </w:tc>
        <w:tc>
          <w:tcPr>
            <w:tcW w:type="dxa" w:w="2268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产品设计、进度管理、对外汇报</w:t>
            </w:r>
          </w:p>
        </w:tc>
        <w:tc>
          <w:tcPr>
            <w:tcW w:type="dxa" w:w="2268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在校大学生</w:t>
            </w:r>
          </w:p>
        </w:tc>
      </w:tr>
      <w:tr>
        <w:tc>
          <w:tcPr>
            <w:tcW w:type="dxa" w:w="2268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技术</w:t>
            </w:r>
          </w:p>
        </w:tc>
        <w:tc>
          <w:tcPr>
            <w:tcW w:type="dxa" w:w="2268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【成员B·姓名】</w:t>
            </w:r>
          </w:p>
        </w:tc>
        <w:tc>
          <w:tcPr>
            <w:tcW w:type="dxa" w:w="2268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后端/数据库/部署（参考分工：Spring Boot/MyBatis/MySQL/CI）</w:t>
            </w:r>
          </w:p>
        </w:tc>
        <w:tc>
          <w:tcPr>
            <w:tcW w:type="dxa" w:w="2268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在校大学生</w:t>
            </w:r>
          </w:p>
        </w:tc>
      </w:tr>
      <w:tr>
        <w:tc>
          <w:tcPr>
            <w:tcW w:type="dxa" w:w="2268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技术</w:t>
            </w:r>
          </w:p>
        </w:tc>
        <w:tc>
          <w:tcPr>
            <w:tcW w:type="dxa" w:w="2268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【成员C·姓名】</w:t>
            </w:r>
          </w:p>
        </w:tc>
        <w:tc>
          <w:tcPr>
            <w:tcW w:type="dxa" w:w="2268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前端/桌面端/AI 集成（参考分工：Vue3/Electron/AI 客户端/文档）</w:t>
            </w:r>
          </w:p>
        </w:tc>
        <w:tc>
          <w:tcPr>
            <w:tcW w:type="dxa" w:w="2268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在校大学生</w:t>
            </w:r>
          </w:p>
        </w:tc>
      </w:tr>
    </w:tbl>
    <w:p>
      <w:pPr>
        <w:ind w:firstLine="440" w:firstLineChars="200"/>
        <w:jc w:val="both"/>
      </w:pPr>
      <w:r>
        <w:rPr>
          <w:rFonts w:ascii="Times New Roman" w:hAnsi="Times New Roman" w:eastAsia="宋体"/>
        </w:rPr>
        <w:t>【学校/学院/专业/年级：占位】；【指导教师（如有）：占位】。</w:t>
      </w:r>
    </w:p>
    <w:p>
      <w:pPr>
        <w:pBdr>
          <w:left w:val="single" w:sz="18" w:space="4" w:color="34618F"/>
        </w:pBdr>
        <w:shd w:val="clear" w:color="auto" w:fill="F2F6FA"/>
        <w:spacing w:after="40"/>
        <w:ind w:left="340"/>
        <w:jc w:val="both"/>
      </w:pPr>
      <w:r>
        <w:rPr>
          <w:rFonts w:ascii="Times New Roman" w:hAnsi="Times New Roman" w:eastAsia="宋体"/>
        </w:rPr>
        <w:br/>
      </w:r>
    </w:p>
    <w:p>
      <w:pPr>
        <w:pBdr>
          <w:left w:val="single" w:sz="18" w:space="4" w:color="34618F"/>
        </w:pBdr>
        <w:shd w:val="clear" w:color="auto" w:fill="F2F6FA"/>
        <w:spacing w:after="40"/>
        <w:ind w:left="340"/>
        <w:jc w:val="both"/>
      </w:pPr>
      <w:r>
        <w:rPr>
          <w:rFonts w:ascii="Times New Roman" w:hAnsi="Times New Roman" w:eastAsia="宋体"/>
        </w:rPr>
        <w:t>提示：git 提交记录主要显示 han-haocheng 一个账号，如需体现三人协作请使用各自 git 作者信息提交或标注 co-authored（见 docs/README.md 一致性提醒）。</w:t>
      </w:r>
    </w:p>
    <w:p>
      <w:pPr>
        <w:pBdr>
          <w:left w:val="single" w:sz="18" w:space="4" w:color="34618F"/>
        </w:pBdr>
        <w:shd w:val="clear" w:color="auto" w:fill="F2F6FA"/>
        <w:spacing w:after="40"/>
        <w:ind w:left="340"/>
        <w:jc w:val="both"/>
      </w:pPr>
      <w:r>
        <w:rPr>
          <w:rFonts w:ascii="Times New Roman" w:hAnsi="Times New Roman" w:eastAsia="宋体"/>
        </w:rPr>
        <w:br/>
      </w:r>
    </w:p>
    <w:p>
      <w:pPr>
        <w:pBdr>
          <w:bottom w:val="single" w:sz="4" w:space="1" w:color="C9D5E4"/>
        </w:pBdr>
        <w:spacing w:before="120" w:after="120"/>
      </w:pPr>
    </w:p>
    <w:p>
      <w:pPr>
        <w:pStyle w:val="Heading1"/>
      </w:pPr>
      <w:r>
        <w:rPr>
          <w:rFonts w:ascii="Times New Roman" w:hAnsi="Times New Roman" w:eastAsia="宋体"/>
          <w:b/>
        </w:rPr>
        <w:t>11. 财务概览（模板 + 假设，填写前请核实）</w:t>
      </w:r>
    </w:p>
    <w:p>
      <w:pPr>
        <w:pStyle w:val="Heading2"/>
      </w:pPr>
      <w:r>
        <w:rPr>
          <w:rFonts w:ascii="Times New Roman" w:hAnsi="Times New Roman" w:eastAsia="宋体"/>
          <w:b/>
        </w:rPr>
        <w:t>11.1 成本结构（事实 + 占位）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7407A"/>
          <w:bottom w:val="single" w:sz="12" w:space="0" w:color="17407A"/>
          <w:insideH w:val="single" w:sz="4" w:space="0" w:color="C9D5E4"/>
          <w:insideV w:val="none" w:sz="0" w:space="0" w:color="FFFFFF"/>
          <w:left w:val="none" w:sz="0" w:space="0" w:color="FFFFFF"/>
          <w:right w:val="none" w:sz="0" w:space="0" w:color="FFFFFF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4535"/>
        <w:gridCol w:w="4535"/>
      </w:tblGrid>
      <w:tr>
        <w:trPr>
          <w:tblHeader w:val="true"/>
          <w:tblHeader w:val="true"/>
        </w:trPr>
        <w:tc>
          <w:tcPr>
            <w:tcW w:type="dxa" w:w="4535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4535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现状/假设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软件许可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¥0（全部自研 + 开源组件，MIT）</w:t>
            </w:r>
          </w:p>
        </w:tc>
      </w:tr>
      <w:tr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代码托管/CI</w:t>
            </w:r>
          </w:p>
        </w:tc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¥0（GitHub 免费额度，Actions 免费配额内）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开发设备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团队自备【占位】</w:t>
            </w:r>
          </w:p>
        </w:tc>
      </w:tr>
      <w:tr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服务器/域名</w:t>
            </w:r>
          </w:p>
        </w:tc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演示用本机部署；如需公网演示：【假设，如 ¥XXX/月云服务器 + ¥XX/年域名（需备案评估）】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AI API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用户自带 Key 直连（按量计费，演示场景费用低）；团队自测费用【占位】</w:t>
            </w:r>
          </w:p>
        </w:tc>
      </w:tr>
      <w:tr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第三方测评/软著申请</w:t>
            </w:r>
          </w:p>
        </w:tc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若参赛/申报需要，见 04 号文档（数千元级，占位）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/>
        </w:rPr>
        <w:t>11.2 收入预测（</w:t>
      </w:r>
      <w:r>
        <w:rPr>
          <w:rFonts w:ascii="Times New Roman" w:hAnsi="Times New Roman" w:eastAsia="宋体"/>
          <w:b/>
        </w:rPr>
        <w:t>假设模板</w:t>
      </w:r>
      <w:r>
        <w:rPr>
          <w:rFonts w:ascii="Times New Roman" w:hAnsi="Times New Roman" w:eastAsia="宋体"/>
          <w:b/>
        </w:rPr>
        <w:t>，未发生）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7407A"/>
          <w:bottom w:val="single" w:sz="12" w:space="0" w:color="17407A"/>
          <w:insideH w:val="single" w:sz="4" w:space="0" w:color="C9D5E4"/>
          <w:insideV w:val="none" w:sz="0" w:space="0" w:color="FFFFFF"/>
          <w:left w:val="none" w:sz="0" w:space="0" w:color="FFFFFF"/>
          <w:right w:val="none" w:sz="0" w:space="0" w:color="FFFFFF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3024"/>
        <w:gridCol w:w="3024"/>
        <w:gridCol w:w="3024"/>
      </w:tblGrid>
      <w:tr>
        <w:trPr>
          <w:tblHeader w:val="true"/>
          <w:tblHeader w:val="true"/>
          <w:tblHeader w:val="true"/>
        </w:trPr>
        <w:tc>
          <w:tcPr>
            <w:tcW w:type="dxa" w:w="3024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年度（假设）</w:t>
            </w:r>
          </w:p>
        </w:tc>
        <w:tc>
          <w:tcPr>
            <w:tcW w:type="dxa" w:w="3024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场景假设</w:t>
            </w:r>
          </w:p>
        </w:tc>
        <w:tc>
          <w:tcPr>
            <w:tcW w:type="dxa" w:w="3024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收入（占位）</w:t>
            </w:r>
          </w:p>
        </w:tc>
      </w:tr>
      <w:tr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 年</w:t>
            </w:r>
          </w:p>
        </w:tc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开源推广 + 1~2 所试点校私有化</w:t>
            </w:r>
          </w:p>
        </w:tc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【¥X】</w:t>
            </w:r>
          </w:p>
        </w:tc>
      </w:tr>
      <w:tr>
        <w:tc>
          <w:tcPr>
            <w:tcW w:type="dxa" w:w="3024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2 年</w:t>
            </w:r>
          </w:p>
        </w:tc>
        <w:tc>
          <w:tcPr>
            <w:tcW w:type="dxa" w:w="3024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5~10 所院校/机构</w:t>
            </w:r>
          </w:p>
        </w:tc>
        <w:tc>
          <w:tcPr>
            <w:tcW w:type="dxa" w:w="3024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【¥X】</w:t>
            </w:r>
          </w:p>
        </w:tc>
      </w:tr>
    </w:tbl>
    <w:p>
      <w:pPr>
        <w:pBdr>
          <w:left w:val="single" w:sz="18" w:space="4" w:color="34618F"/>
        </w:pBdr>
        <w:shd w:val="clear" w:color="auto" w:fill="F2F6FA"/>
        <w:spacing w:after="40"/>
        <w:ind w:left="340"/>
        <w:jc w:val="both"/>
      </w:pPr>
      <w:r>
        <w:rPr>
          <w:rFonts w:ascii="Times New Roman" w:hAnsi="Times New Roman" w:eastAsia="宋体"/>
        </w:rPr>
        <w:br/>
      </w:r>
    </w:p>
    <w:p>
      <w:pPr>
        <w:pBdr>
          <w:left w:val="single" w:sz="18" w:space="4" w:color="34618F"/>
        </w:pBdr>
        <w:shd w:val="clear" w:color="auto" w:fill="F2F6FA"/>
        <w:spacing w:after="40"/>
        <w:ind w:left="340"/>
        <w:jc w:val="both"/>
      </w:pPr>
      <w:r>
        <w:rPr>
          <w:rFonts w:ascii="Times New Roman" w:hAnsi="Times New Roman" w:eastAsia="宋体"/>
        </w:rPr>
        <w:t>上述为</w:t>
      </w:r>
      <w:r>
        <w:rPr>
          <w:rFonts w:ascii="Times New Roman" w:hAnsi="Times New Roman" w:eastAsia="宋体"/>
          <w:b/>
        </w:rPr>
        <w:t>推演模板</w:t>
      </w:r>
      <w:r>
        <w:rPr>
          <w:rFonts w:ascii="Times New Roman" w:hAnsi="Times New Roman" w:eastAsia="宋体"/>
        </w:rPr>
        <w:t>，用于路演提问准备；路演时若被追问应回答“商业模式尚在验证中，当前阶段以开源与试点为主”，切勿虚报已产生收入。</w:t>
      </w:r>
    </w:p>
    <w:p>
      <w:pPr>
        <w:pBdr>
          <w:left w:val="single" w:sz="18" w:space="4" w:color="34618F"/>
        </w:pBdr>
        <w:shd w:val="clear" w:color="auto" w:fill="F2F6FA"/>
        <w:spacing w:after="40"/>
        <w:ind w:left="340"/>
        <w:jc w:val="both"/>
      </w:pPr>
      <w:r>
        <w:rPr>
          <w:rFonts w:ascii="Times New Roman" w:hAnsi="Times New Roman" w:eastAsia="宋体"/>
        </w:rPr>
        <w:br/>
      </w:r>
    </w:p>
    <w:p>
      <w:pPr>
        <w:pBdr>
          <w:bottom w:val="single" w:sz="4" w:space="1" w:color="C9D5E4"/>
        </w:pBdr>
        <w:spacing w:before="120" w:after="120"/>
      </w:pPr>
    </w:p>
    <w:p>
      <w:pPr>
        <w:pStyle w:val="Heading1"/>
      </w:pPr>
      <w:r>
        <w:rPr>
          <w:rFonts w:ascii="Times New Roman" w:hAnsi="Times New Roman" w:eastAsia="宋体"/>
          <w:b/>
        </w:rPr>
        <w:t>12. 风险分析与对策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7407A"/>
          <w:bottom w:val="single" w:sz="12" w:space="0" w:color="17407A"/>
          <w:insideH w:val="single" w:sz="4" w:space="0" w:color="C9D5E4"/>
          <w:insideV w:val="none" w:sz="0" w:space="0" w:color="FFFFFF"/>
          <w:left w:val="none" w:sz="0" w:space="0" w:color="FFFFFF"/>
          <w:right w:val="none" w:sz="0" w:space="0" w:color="FFFFFF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3024"/>
        <w:gridCol w:w="3024"/>
        <w:gridCol w:w="3024"/>
      </w:tblGrid>
      <w:tr>
        <w:trPr>
          <w:tblHeader w:val="true"/>
          <w:tblHeader w:val="true"/>
          <w:tblHeader w:val="true"/>
        </w:trPr>
        <w:tc>
          <w:tcPr>
            <w:tcW w:type="dxa" w:w="3024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风险</w:t>
            </w:r>
          </w:p>
        </w:tc>
        <w:tc>
          <w:tcPr>
            <w:tcW w:type="dxa" w:w="3024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3024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对策（部分为规划）</w:t>
            </w:r>
          </w:p>
        </w:tc>
      </w:tr>
      <w:tr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团队持续性与人员毕业</w:t>
            </w:r>
          </w:p>
        </w:tc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学生团队毕业后维护中断是开源项目常见风险</w:t>
            </w:r>
          </w:p>
        </w:tc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文档化（本仓库文档完善）、代码规范与自动化测试降低维护门槛；吸纳低年级成员【规划】</w:t>
            </w:r>
          </w:p>
        </w:tc>
      </w:tr>
      <w:tr>
        <w:tc>
          <w:tcPr>
            <w:tcW w:type="dxa" w:w="3024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商业化合规（AI/教育数据）</w:t>
            </w:r>
          </w:p>
        </w:tc>
        <w:tc>
          <w:tcPr>
            <w:tcW w:type="dxa" w:w="3024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若对外提供 SaaS/生成式 AI 服务，需按《生成式人工智能服务管理暂行办法》等评估备案/安全评估义务；涉及未成年人数据需监护人同意等</w:t>
            </w:r>
          </w:p>
        </w:tc>
        <w:tc>
          <w:tcPr>
            <w:tcW w:type="dxa" w:w="3024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现架构 AI 为“用户自带 Key 直连第三方”，本项目不运营模型服务，风险低；公开运营前做专门合规评估【详见 03 号文档】</w:t>
            </w:r>
          </w:p>
        </w:tc>
      </w:tr>
      <w:tr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内容版权</w:t>
            </w:r>
          </w:p>
        </w:tc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用户导入的题目版权归属上传者；平台不提供版权内容，但需在用户协议中明确上传者责任</w:t>
            </w:r>
          </w:p>
        </w:tc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开源版随附使用说明声明；SaaS/定制版用户协议条款【占位】</w:t>
            </w:r>
          </w:p>
        </w:tc>
      </w:tr>
      <w:tr>
        <w:tc>
          <w:tcPr>
            <w:tcW w:type="dxa" w:w="3024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竞争与获客</w:t>
            </w:r>
          </w:p>
        </w:tc>
        <w:tc>
          <w:tcPr>
            <w:tcW w:type="dxa" w:w="3024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无内容壁垒、无付费历史</w:t>
            </w:r>
          </w:p>
        </w:tc>
        <w:tc>
          <w:tcPr>
            <w:tcW w:type="dxa" w:w="3024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深耕教师工具口碑与校园渠道；做精私有化部署场景</w:t>
            </w:r>
          </w:p>
        </w:tc>
      </w:tr>
      <w:tr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技术风险</w:t>
            </w:r>
          </w:p>
        </w:tc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单机部署会话白名单存内存（多实例需共享存储）；多实例横向扩展需 Redis 化【规划】</w:t>
            </w:r>
          </w:p>
        </w:tc>
        <w:tc>
          <w:tcPr>
            <w:tcW w:type="dxa" w:w="3024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单校单实例为主；文档已注明</w:t>
            </w:r>
          </w:p>
        </w:tc>
      </w:tr>
      <w:tr>
        <w:tc>
          <w:tcPr>
            <w:tcW w:type="dxa" w:w="3024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财务风险</w:t>
            </w:r>
          </w:p>
        </w:tc>
        <w:tc>
          <w:tcPr>
            <w:tcW w:type="dxa" w:w="3024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无外部资金</w:t>
            </w:r>
          </w:p>
        </w:tc>
        <w:tc>
          <w:tcPr>
            <w:tcW w:type="dxa" w:w="3024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成本近零；以课程/竞赛立项与开源赞助为可选项【占位】</w:t>
            </w:r>
          </w:p>
        </w:tc>
      </w:tr>
    </w:tbl>
    <w:p>
      <w:pPr>
        <w:pBdr>
          <w:bottom w:val="single" w:sz="4" w:space="1" w:color="C9D5E4"/>
        </w:pBdr>
        <w:spacing w:before="120" w:after="120"/>
      </w:pPr>
    </w:p>
    <w:p>
      <w:pPr>
        <w:pStyle w:val="Heading1"/>
      </w:pPr>
      <w:r>
        <w:rPr>
          <w:rFonts w:ascii="Times New Roman" w:hAnsi="Times New Roman" w:eastAsia="宋体"/>
          <w:b/>
        </w:rPr>
        <w:t>13. 附录：项目事实数据（口径 2026-09-09，均可从公开仓库核查）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7407A"/>
          <w:bottom w:val="single" w:sz="12" w:space="0" w:color="17407A"/>
          <w:insideH w:val="single" w:sz="4" w:space="0" w:color="C9D5E4"/>
          <w:insideV w:val="none" w:sz="0" w:space="0" w:color="FFFFFF"/>
          <w:left w:val="none" w:sz="0" w:space="0" w:color="FFFFFF"/>
          <w:right w:val="none" w:sz="0" w:space="0" w:color="FFFFFF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4535"/>
        <w:gridCol w:w="4535"/>
      </w:tblGrid>
      <w:tr>
        <w:trPr>
          <w:tblHeader w:val="true"/>
          <w:tblHeader w:val="true"/>
        </w:trPr>
        <w:tc>
          <w:tcPr>
            <w:tcW w:type="dxa" w:w="4535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项</w:t>
            </w:r>
          </w:p>
        </w:tc>
        <w:tc>
          <w:tcPr>
            <w:tcW w:type="dxa" w:w="4535"/>
            <w:tcBorders>
              <w:bottom w:val="single" w:sz="8" w:space="0" w:color="17407A"/>
            </w:tcBorders>
            <w:shd w:val="clear" w:color="auto" w:fill="EAF1F9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数据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仓库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github.com/Han-Haocheng/IntelligentQuestionBank（公开，MIT）</w:t>
            </w:r>
          </w:p>
        </w:tc>
      </w:tr>
      <w:tr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版本</w:t>
            </w:r>
          </w:p>
        </w:tc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正式版 v1.3.0（2026-09-09）；已发布 v1.0.0→v1.3.0 共 9 个 Release（2026-08-29 ~ 2026-09-09）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交付物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Windows .exe / macOS .dmg(x64+arm64) / Linux .deb+.AppImage 桌面安装包；后端 jar；服务端渲染版 qbank-web-ssr jar（v1.3.0 起新增）；网页版 zip（最新 Release 资产可下载）</w:t>
            </w:r>
          </w:p>
        </w:tc>
      </w:tr>
      <w:tr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后端(Java/Spring Boot)约 5.2k 行、前端(Vue3)约 5.0k 行、SSR 轻量版约 5.6k 行、db 脚本约 0.4k 行（合计约 2 万行，含注释空行）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数据库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MySQL 8.0+，12 张表；init.sql 幂等可重跑；upgrade.sql 存量升级</w:t>
            </w:r>
          </w:p>
        </w:tc>
      </w:tr>
      <w:tr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质量</w:t>
            </w:r>
          </w:p>
        </w:tc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后端单测 17 个类 / 193 个测试方法；前端以构建为门禁（npm run build）；CI 3 条工作流自动构建发布</w:t>
            </w:r>
          </w:p>
        </w:tc>
      </w:tr>
      <w:tr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</w:t>
            </w:r>
          </w:p>
        </w:tc>
        <w:tc>
          <w:tcPr>
            <w:tcW w:type="dxa" w:w="4535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100 次提交（截至口径日）</w:t>
            </w:r>
          </w:p>
        </w:tc>
      </w:tr>
      <w:tr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开源许可</w:t>
            </w:r>
          </w:p>
        </w:tc>
        <w:tc>
          <w:tcPr>
            <w:tcW w:type="dxa" w:w="4535"/>
            <w:shd w:val="clear" w:color="auto" w:fill="F8FAFD"/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MIT（版权人 Han-Haocheng）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</w:rPr>
        <w:t>附：待办清单（发布/申报前）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color w:val="17407A"/>
        </w:rPr>
        <w:t>☐</w:t>
      </w:r>
      <w:r>
        <w:rPr>
          <w:rFonts w:ascii="Times New Roman" w:hAnsi="Times New Roman" w:eastAsia="宋体"/>
        </w:rPr>
        <w:t xml:space="preserve"> 全文替换【占位符】</w:t>
      </w:r>
    </w:p>
    <w:p>
      <w:pPr>
        <w:pStyle w:val="ListBullet"/>
        <w:spacing w:after="40"/>
      </w:pPr>
      <w:r>
        <w:rPr>
          <w:rFonts w:ascii="Times New Roman" w:hAnsi="Times New Roman" w:eastAsia="宋体"/>
          <w:color w:val="17407A"/>
        </w:rPr>
        <w:t>☐</w:t>
      </w:r>
      <w:r>
        <w:rPr>
          <w:rFonts w:ascii="Times New Roman" w:hAnsi="Times New Roman" w:eastAsia="宋体"/>
        </w:rPr>
        <w:t xml:space="preserve"> 按需补充市场数据引用来源（第 2.3 章）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color w:val="17407A"/>
        </w:rPr>
        <w:t>☐</w:t>
      </w:r>
      <w:r>
        <w:rPr>
          <w:rFonts w:ascii="Times New Roman" w:hAnsi="Times New Roman" w:eastAsia="宋体"/>
        </w:rPr>
        <w:t xml:space="preserve"> 试点/竞赛/申报计划确认（配合 04-佐证材料清单.md）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color w:val="17407A"/>
        </w:rPr>
        <w:t>☐</w:t>
      </w:r>
      <w:r>
        <w:rPr>
          <w:rFonts w:ascii="Times New Roman" w:hAnsi="Times New Roman" w:eastAsia="宋体"/>
        </w:rPr>
        <w:t xml:space="preserve"> 更新文档口径日期与版本号</w:t>
      </w:r>
    </w:p>
    <w:sectPr w:rsidR="00FC693F" w:rsidRPr="0006063C" w:rsidSect="00034616">
      <w:footerReference w:type="default" r:id="rId9"/>
      <w:pgSz w:w="11906" w:h="16838"/>
      <w:pgMar w:top="1417" w:right="1361" w:bottom="1304" w:left="1474" w:header="85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66666"/>
        <w:sz w:val="18"/>
      </w:rPr>
      <w:t xml:space="preserve">第 </w: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begin"/>
    </w:r>
    <w:r>
      <w:rPr>
        <w:rFonts w:ascii="Times New Roman" w:hAnsi="Times New Roman" w:eastAsia="宋体"/>
        <w:b w:val="0"/>
        <w:i w:val="0"/>
        <w:color w:val="666666"/>
        <w:sz w:val="18"/>
      </w:rPr>
      <w:instrText xml:space="preserve"> PAGE </w:instrTex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end"/>
    </w:r>
    <w:r>
      <w:rPr>
        <w:rFonts w:ascii="Times New Roman" w:hAnsi="Times New Roman" w:eastAsia="宋体"/>
        <w:b w:val="0"/>
        <w:i w:val="0"/>
        <w:color w:val="666666"/>
        <w:sz w:val="18"/>
      </w:rPr>
      <w:t xml:space="preserve"> 页 / 共 </w: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begin"/>
    </w:r>
    <w:r>
      <w:rPr>
        <w:rFonts w:ascii="Times New Roman" w:hAnsi="Times New Roman" w:eastAsia="宋体"/>
        <w:b w:val="0"/>
        <w:i w:val="0"/>
        <w:color w:val="666666"/>
        <w:sz w:val="18"/>
      </w:rPr>
      <w:instrText xml:space="preserve"> NUMPAGES </w:instrTex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end"/>
    </w:r>
    <w:r>
      <w:rPr>
        <w:rFonts w:ascii="Times New Roman" w:hAnsi="Times New Roman" w:eastAsia="宋体"/>
        <w:b w:val="0"/>
        <w:i w:val="0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11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13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14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12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740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12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3527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312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23527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智能题库管理系统（智能题库 · qbank）商业计划书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