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160" w:after="120"/>
        <w:jc w:val="center"/>
      </w:pPr>
      <w:r>
        <w:rPr>
          <w:rFonts w:ascii="黑体" w:hAnsi="黑体" w:eastAsia="黑体"/>
          <w:b/>
          <w:sz w:val="34"/>
        </w:rPr>
        <w:t>基于Prompt工程的上市公司财报解读与行业对标系统</w:t>
      </w:r>
    </w:p>
    <w:p>
      <w:pPr>
        <w:jc w:val="center"/>
      </w:pPr>
      <w:r>
        <w:rPr>
          <w:rFonts w:ascii="黑体" w:hAnsi="黑体" w:eastAsia="黑体"/>
          <w:b/>
          <w:sz w:val="52"/>
        </w:rPr>
        <w:t>软 件 说 明 书</w:t>
      </w:r>
    </w:p>
    <w:p/>
    <w:p>
      <w:pPr>
        <w:jc w:val="center"/>
      </w:pPr>
      <w:r>
        <w:rPr>
          <w:rFonts w:ascii="Calibri" w:hAnsi="Calibri" w:eastAsia="宋体"/>
          <w:b w:val="0"/>
          <w:sz w:val="28"/>
        </w:rPr>
        <w:t>版本号：V1.0</w:t>
      </w:r>
    </w:p>
    <w:p/>
    <w:p/>
    <w:p/>
    <w:p/>
    <w:p/>
    <w:p/>
    <w:p>
      <w:pPr>
        <w:jc w:val="center"/>
      </w:pPr>
      <w:r>
        <w:rPr>
          <w:rFonts w:ascii="Calibri" w:hAnsi="Calibri" w:eastAsia="宋体"/>
          <w:b w:val="0"/>
          <w:sz w:val="24"/>
        </w:rPr>
        <w:t>软件全称：基于Prompt工程的上市公司财报解读与行业对标系统</w:t>
      </w:r>
    </w:p>
    <w:p>
      <w:pPr>
        <w:jc w:val="center"/>
      </w:pPr>
      <w:r>
        <w:rPr>
          <w:rFonts w:ascii="Calibri" w:hAnsi="Calibri" w:eastAsia="宋体"/>
          <w:b w:val="0"/>
          <w:sz w:val="24"/>
        </w:rPr>
        <w:t>软件简称：财报智读</w:t>
      </w:r>
    </w:p>
    <w:p>
      <w:pPr>
        <w:jc w:val="center"/>
      </w:pPr>
      <w:r>
        <w:rPr>
          <w:rFonts w:ascii="Calibri" w:hAnsi="Calibri" w:eastAsia="宋体"/>
          <w:b w:val="0"/>
          <w:sz w:val="24"/>
        </w:rPr>
        <w:t>版 本 号：V1.0</w:t>
      </w:r>
    </w:p>
    <w:p>
      <w:pPr>
        <w:jc w:val="center"/>
      </w:pPr>
      <w:r>
        <w:rPr>
          <w:rFonts w:ascii="Calibri" w:hAnsi="Calibri" w:eastAsia="宋体"/>
          <w:b w:val="0"/>
          <w:sz w:val="24"/>
        </w:rPr>
        <w:t>著作权人：【请填写：淮阴师范学院 或 全体作者姓名】</w:t>
      </w:r>
    </w:p>
    <w:p>
      <w:pPr>
        <w:jc w:val="center"/>
      </w:pPr>
      <w:r>
        <w:rPr>
          <w:rFonts w:ascii="Calibri" w:hAnsi="Calibri" w:eastAsia="宋体"/>
          <w:b w:val="0"/>
          <w:sz w:val="24"/>
        </w:rPr>
        <w:t>编制日期：2026 年 10 月</w:t>
      </w:r>
    </w:p>
    <w:p>
      <w:r>
        <w:br w:type="page"/>
      </w:r>
    </w:p>
    <w:p>
      <w:pPr>
        <w:spacing w:before="240" w:after="120"/>
      </w:pPr>
      <w:r>
        <w:rPr>
          <w:rFonts w:ascii="黑体" w:hAnsi="黑体" w:eastAsia="黑体"/>
          <w:b/>
          <w:sz w:val="28"/>
        </w:rPr>
        <w:t>目　录</w:t>
      </w:r>
    </w:p>
    <w:p>
      <w:pPr>
        <w:spacing w:after="80"/>
      </w:pPr>
      <w:r>
        <w:rPr>
          <w:rFonts w:ascii="Calibri" w:hAnsi="Calibri" w:eastAsia="宋体"/>
          <w:b w:val="0"/>
          <w:sz w:val="22"/>
        </w:rPr>
        <w:t>第一章　软件概述</w:t>
      </w:r>
    </w:p>
    <w:p>
      <w:pPr>
        <w:spacing w:after="80"/>
      </w:pPr>
      <w:r>
        <w:rPr>
          <w:rFonts w:ascii="Calibri" w:hAnsi="Calibri" w:eastAsia="宋体"/>
          <w:b w:val="0"/>
          <w:sz w:val="22"/>
        </w:rPr>
        <w:t>第二章　运行环境</w:t>
      </w:r>
    </w:p>
    <w:p>
      <w:pPr>
        <w:spacing w:after="80"/>
      </w:pPr>
      <w:r>
        <w:rPr>
          <w:rFonts w:ascii="Calibri" w:hAnsi="Calibri" w:eastAsia="宋体"/>
          <w:b w:val="0"/>
          <w:sz w:val="22"/>
        </w:rPr>
        <w:t>第三章　系统架构与技术特点</w:t>
      </w:r>
    </w:p>
    <w:p>
      <w:pPr>
        <w:spacing w:after="80"/>
      </w:pPr>
      <w:r>
        <w:rPr>
          <w:rFonts w:ascii="Calibri" w:hAnsi="Calibri" w:eastAsia="宋体"/>
          <w:b w:val="0"/>
          <w:sz w:val="22"/>
        </w:rPr>
        <w:t>第四章　安装与部署</w:t>
      </w:r>
    </w:p>
    <w:p>
      <w:pPr>
        <w:spacing w:after="80"/>
      </w:pPr>
      <w:r>
        <w:rPr>
          <w:rFonts w:ascii="Calibri" w:hAnsi="Calibri" w:eastAsia="宋体"/>
          <w:b w:val="0"/>
          <w:sz w:val="22"/>
        </w:rPr>
        <w:t>第五章　功能操作说明</w:t>
      </w:r>
    </w:p>
    <w:p>
      <w:pPr>
        <w:spacing w:after="80"/>
      </w:pPr>
      <w:r>
        <w:rPr>
          <w:rFonts w:ascii="Calibri" w:hAnsi="Calibri" w:eastAsia="宋体"/>
          <w:b w:val="0"/>
          <w:sz w:val="22"/>
        </w:rPr>
        <w:t>第六章　典型操作流程示例</w:t>
      </w:r>
    </w:p>
    <w:p>
      <w:pPr>
        <w:spacing w:after="80"/>
      </w:pPr>
      <w:r>
        <w:rPr>
          <w:rFonts w:ascii="Calibri" w:hAnsi="Calibri" w:eastAsia="宋体"/>
          <w:b w:val="0"/>
          <w:sz w:val="22"/>
        </w:rPr>
        <w:t>第七章　注意事项与常见问题</w:t>
      </w:r>
    </w:p>
    <w:p>
      <w:r>
        <w:br w:type="page"/>
      </w:r>
    </w:p>
    <w:p>
      <w:pPr>
        <w:spacing w:before="240" w:after="120"/>
      </w:pPr>
      <w:r>
        <w:rPr>
          <w:rFonts w:ascii="黑体" w:hAnsi="黑体" w:eastAsia="黑体"/>
          <w:b/>
          <w:sz w:val="28"/>
        </w:rPr>
        <w:t>第一章　软件概述</w:t>
      </w:r>
    </w:p>
    <w:p>
      <w:pPr>
        <w:spacing w:before="160" w:after="120"/>
      </w:pPr>
      <w:r>
        <w:rPr>
          <w:rFonts w:ascii="黑体" w:hAnsi="黑体" w:eastAsia="黑体"/>
          <w:b/>
          <w:sz w:val="24"/>
        </w:rPr>
        <w:t>1.1 软件名称与版本</w:t>
      </w:r>
    </w:p>
    <w:p>
      <w:pPr>
        <w:spacing w:after="80" w:line="360" w:lineRule="auto"/>
        <w:ind w:firstLine="420"/>
      </w:pPr>
      <w:r>
        <w:rPr>
          <w:rFonts w:ascii="Calibri" w:hAnsi="Calibri" w:eastAsia="宋体"/>
          <w:b w:val="0"/>
          <w:sz w:val="21"/>
        </w:rPr>
        <w:t>软件全称：基于Prompt工程的上市公司财报解读与行业对标系统；版本号：V1.0；软件简称：财报智读。</w:t>
      </w:r>
    </w:p>
    <w:p>
      <w:pPr>
        <w:spacing w:before="160" w:after="120"/>
      </w:pPr>
      <w:r>
        <w:rPr>
          <w:rFonts w:ascii="黑体" w:hAnsi="黑体" w:eastAsia="黑体"/>
          <w:b/>
          <w:sz w:val="24"/>
        </w:rPr>
        <w:t>1.2 开发目的与适用对象</w:t>
      </w:r>
    </w:p>
    <w:p>
      <w:pPr>
        <w:spacing w:after="80" w:line="360" w:lineRule="auto"/>
        <w:ind w:firstLine="420"/>
      </w:pPr>
      <w:r>
        <w:rPr>
          <w:rFonts w:ascii="Calibri" w:hAnsi="Calibri" w:eastAsia="宋体"/>
          <w:b w:val="0"/>
          <w:sz w:val="21"/>
        </w:rPr>
        <w:t>上市公司财务报告是投资者了解企业基本面最重要的公开信息源，但读懂年报需要会计与财务分析专业知识，普通投资者难以独立完成；而通用大语言模型直接用于财报解读时，容易对训练数据之外的“私有数字”产生幻觉，自信地输出并不存在的财务数据，在金融场景中不可接受。</w:t>
      </w:r>
    </w:p>
    <w:p>
      <w:pPr>
        <w:spacing w:after="80" w:line="360" w:lineRule="auto"/>
        <w:ind w:firstLine="420"/>
      </w:pPr>
      <w:r>
        <w:rPr>
          <w:rFonts w:ascii="Calibri" w:hAnsi="Calibri" w:eastAsia="宋体"/>
          <w:b w:val="0"/>
          <w:sz w:val="21"/>
        </w:rPr>
        <w:t>本软件面向普通投资者、财务学习者与教学研究人员，提供“精确计算 + 智能解读”一体化的财报分析工具：底层由系统精确计算财务指标与行业对标结果，保证每个数字可溯源、可验证；上层由大语言模型生成通俗的解读报告，且只允许使用系统注入的数据，从工程上抑制幻觉。</w:t>
      </w:r>
    </w:p>
    <w:p>
      <w:pPr>
        <w:spacing w:before="160" w:after="120"/>
      </w:pPr>
      <w:r>
        <w:rPr>
          <w:rFonts w:ascii="黑体" w:hAnsi="黑体" w:eastAsia="黑体"/>
          <w:b/>
          <w:sz w:val="24"/>
        </w:rPr>
        <w:t>1.3 主要功能概览</w:t>
      </w:r>
    </w:p>
    <w:tbl>
      <w:tblPr>
        <w:tblStyle w:val="TableGrid"/>
        <w:tblW w:type="auto" w:w="0"/>
        <w:jc w:val="center"/>
        <w:tblLook w:firstColumn="1" w:firstRow="1" w:lastColumn="0" w:lastRow="0" w:noHBand="0" w:noVBand="1" w:val="04A0"/>
      </w:tblPr>
      <w:tblGrid>
        <w:gridCol w:w="4535"/>
        <w:gridCol w:w="4535"/>
      </w:tblGrid>
      <w:tr>
        <w:tc>
          <w:tcPr>
            <w:tcW w:type="dxa" w:w="1814"/>
          </w:tcPr>
          <w:p>
            <w:r/>
            <w:r>
              <w:rPr>
                <w:rFonts w:ascii="黑体" w:hAnsi="黑体" w:eastAsia="黑体"/>
                <w:b/>
                <w:sz w:val="19"/>
              </w:rPr>
              <w:t>功能模块</w:t>
            </w:r>
          </w:p>
        </w:tc>
        <w:tc>
          <w:tcPr>
            <w:tcW w:type="dxa" w:w="7143"/>
          </w:tcPr>
          <w:p>
            <w:r/>
            <w:r>
              <w:rPr>
                <w:rFonts w:ascii="黑体" w:hAnsi="黑体" w:eastAsia="黑体"/>
                <w:b/>
                <w:sz w:val="19"/>
              </w:rPr>
              <w:t>主要能力</w:t>
            </w:r>
          </w:p>
        </w:tc>
      </w:tr>
      <w:tr>
        <w:tc>
          <w:tcPr>
            <w:tcW w:type="dxa" w:w="1814"/>
          </w:tcPr>
          <w:p>
            <w:r/>
            <w:r>
              <w:rPr>
                <w:rFonts w:ascii="Calibri" w:hAnsi="Calibri" w:eastAsia="宋体"/>
                <w:b w:val="0"/>
                <w:sz w:val="19"/>
              </w:rPr>
              <w:t>系统概览</w:t>
            </w:r>
          </w:p>
        </w:tc>
        <w:tc>
          <w:tcPr>
            <w:tcW w:type="dxa" w:w="7143"/>
          </w:tcPr>
          <w:p>
            <w:r/>
            <w:r>
              <w:rPr>
                <w:rFonts w:ascii="Calibri" w:hAnsi="Calibri" w:eastAsia="宋体"/>
                <w:b w:val="0"/>
                <w:sz w:val="19"/>
              </w:rPr>
              <w:t>展示项目定位、数据规模、行业分布、指标维度覆盖与后端运行状态</w:t>
            </w:r>
          </w:p>
        </w:tc>
      </w:tr>
      <w:tr>
        <w:tc>
          <w:tcPr>
            <w:tcW w:type="dxa" w:w="1814"/>
          </w:tcPr>
          <w:p>
            <w:r/>
            <w:r>
              <w:rPr>
                <w:rFonts w:ascii="Calibri" w:hAnsi="Calibri" w:eastAsia="宋体"/>
                <w:b w:val="0"/>
                <w:sz w:val="19"/>
              </w:rPr>
              <w:t>公司查询</w:t>
            </w:r>
          </w:p>
        </w:tc>
        <w:tc>
          <w:tcPr>
            <w:tcW w:type="dxa" w:w="7143"/>
          </w:tcPr>
          <w:p>
            <w:r/>
            <w:r>
              <w:rPr>
                <w:rFonts w:ascii="Calibri" w:hAnsi="Calibri" w:eastAsia="宋体"/>
                <w:b w:val="0"/>
                <w:sz w:val="19"/>
              </w:rPr>
              <w:t>按股票代码/简称/全称与行业检索上市公司，支持表格与卡片两种视图、分页浏览</w:t>
            </w:r>
          </w:p>
        </w:tc>
      </w:tr>
      <w:tr>
        <w:tc>
          <w:tcPr>
            <w:tcW w:type="dxa" w:w="1814"/>
          </w:tcPr>
          <w:p>
            <w:r/>
            <w:r>
              <w:rPr>
                <w:rFonts w:ascii="Calibri" w:hAnsi="Calibri" w:eastAsia="宋体"/>
                <w:b w:val="0"/>
                <w:sz w:val="19"/>
              </w:rPr>
              <w:t>财务画像</w:t>
            </w:r>
          </w:p>
        </w:tc>
        <w:tc>
          <w:tcPr>
            <w:tcW w:type="dxa" w:w="7143"/>
          </w:tcPr>
          <w:p>
            <w:r/>
            <w:r>
              <w:rPr>
                <w:rFonts w:ascii="Calibri" w:hAnsi="Calibri" w:eastAsia="宋体"/>
                <w:b w:val="0"/>
                <w:sz w:val="19"/>
              </w:rPr>
              <w:t>展示综合评分、关键指标、六维能力雷达、多年度趋势、行业对标明细与报表原始科目</w:t>
            </w:r>
          </w:p>
        </w:tc>
      </w:tr>
      <w:tr>
        <w:tc>
          <w:tcPr>
            <w:tcW w:type="dxa" w:w="1814"/>
          </w:tcPr>
          <w:p>
            <w:r/>
            <w:r>
              <w:rPr>
                <w:rFonts w:ascii="Calibri" w:hAnsi="Calibri" w:eastAsia="宋体"/>
                <w:b w:val="0"/>
                <w:sz w:val="19"/>
              </w:rPr>
              <w:t>AI 解读</w:t>
            </w:r>
          </w:p>
        </w:tc>
        <w:tc>
          <w:tcPr>
            <w:tcW w:type="dxa" w:w="7143"/>
          </w:tcPr>
          <w:p>
            <w:r/>
            <w:r>
              <w:rPr>
                <w:rFonts w:ascii="Calibri" w:hAnsi="Calibri" w:eastAsia="宋体"/>
                <w:b w:val="0"/>
                <w:sz w:val="19"/>
              </w:rPr>
              <w:t>基于三层 Prompt 生成结构化财报解读简报，支持追问对话与数值溯源校验</w:t>
            </w:r>
          </w:p>
        </w:tc>
      </w:tr>
      <w:tr>
        <w:tc>
          <w:tcPr>
            <w:tcW w:type="dxa" w:w="1814"/>
          </w:tcPr>
          <w:p>
            <w:r/>
            <w:r>
              <w:rPr>
                <w:rFonts w:ascii="Calibri" w:hAnsi="Calibri" w:eastAsia="宋体"/>
                <w:b w:val="0"/>
                <w:sz w:val="19"/>
              </w:rPr>
              <w:t>行业排行</w:t>
            </w:r>
          </w:p>
        </w:tc>
        <w:tc>
          <w:tcPr>
            <w:tcW w:type="dxa" w:w="7143"/>
          </w:tcPr>
          <w:p>
            <w:r/>
            <w:r>
              <w:rPr>
                <w:rFonts w:ascii="Calibri" w:hAnsi="Calibri" w:eastAsia="宋体"/>
                <w:b w:val="0"/>
                <w:sz w:val="19"/>
              </w:rPr>
              <w:t>按行业与指标横向排名，给出 Top3 领奖台、分布统计与排行明细</w:t>
            </w:r>
          </w:p>
        </w:tc>
      </w:tr>
      <w:tr>
        <w:tc>
          <w:tcPr>
            <w:tcW w:type="dxa" w:w="1814"/>
          </w:tcPr>
          <w:p>
            <w:r/>
            <w:r>
              <w:rPr>
                <w:rFonts w:ascii="Calibri" w:hAnsi="Calibri" w:eastAsia="宋体"/>
                <w:b w:val="0"/>
                <w:sz w:val="19"/>
              </w:rPr>
              <w:t>智能筛选</w:t>
            </w:r>
          </w:p>
        </w:tc>
        <w:tc>
          <w:tcPr>
            <w:tcW w:type="dxa" w:w="7143"/>
          </w:tcPr>
          <w:p>
            <w:r/>
            <w:r>
              <w:rPr>
                <w:rFonts w:ascii="Calibri" w:hAnsi="Calibri" w:eastAsia="宋体"/>
                <w:b w:val="0"/>
                <w:sz w:val="19"/>
              </w:rPr>
              <w:t>多条件 AND 交叉筛选，支持预设方案、逐条件判定明细与结果导出</w:t>
            </w:r>
          </w:p>
        </w:tc>
      </w:tr>
    </w:tbl>
    <w:p>
      <w:pPr>
        <w:spacing w:after="80" w:line="360" w:lineRule="auto"/>
        <w:ind w:firstLine="420"/>
      </w:pPr>
      <w:r>
        <w:rPr>
          <w:rFonts w:ascii="Calibri" w:hAnsi="Calibri" w:eastAsia="宋体"/>
          <w:b w:val="0"/>
          <w:sz w:val="21"/>
        </w:rPr>
        <w:t>软件覆盖电子设备、医药制造、酒饮料制造 3 个行业共 24 家上市公司 2021—2025 年年报真实财务数据，全部数据来自东方财富、新浪等公开接口，共计 2760 条报表科目记录、120 条估值快照，经与公开年报逐项核对，关键数值误差为零。</w:t>
      </w:r>
    </w:p>
    <w:p>
      <w:r>
        <w:br w:type="page"/>
      </w:r>
    </w:p>
    <w:p>
      <w:pPr>
        <w:spacing w:before="240" w:after="120"/>
      </w:pPr>
      <w:r>
        <w:rPr>
          <w:rFonts w:ascii="黑体" w:hAnsi="黑体" w:eastAsia="黑体"/>
          <w:b/>
          <w:sz w:val="28"/>
        </w:rPr>
        <w:t>第二章　运行环境</w:t>
      </w:r>
    </w:p>
    <w:p>
      <w:pPr>
        <w:spacing w:before="160" w:after="120"/>
      </w:pPr>
      <w:r>
        <w:rPr>
          <w:rFonts w:ascii="黑体" w:hAnsi="黑体" w:eastAsia="黑体"/>
          <w:b/>
          <w:sz w:val="24"/>
        </w:rPr>
        <w:t>2.1 硬件环境</w:t>
      </w:r>
    </w:p>
    <w:tbl>
      <w:tblPr>
        <w:tblStyle w:val="TableGrid"/>
        <w:tblW w:type="auto" w:w="0"/>
        <w:jc w:val="center"/>
        <w:tblLook w:firstColumn="1" w:firstRow="1" w:lastColumn="0" w:lastRow="0" w:noHBand="0" w:noVBand="1" w:val="04A0"/>
      </w:tblPr>
      <w:tblGrid>
        <w:gridCol w:w="3024"/>
        <w:gridCol w:w="3024"/>
        <w:gridCol w:w="3024"/>
      </w:tblGrid>
      <w:tr>
        <w:tc>
          <w:tcPr>
            <w:tcW w:type="dxa" w:w="1701"/>
          </w:tcPr>
          <w:p>
            <w:r/>
            <w:r>
              <w:rPr>
                <w:rFonts w:ascii="黑体" w:hAnsi="黑体" w:eastAsia="黑体"/>
                <w:b/>
                <w:sz w:val="19"/>
              </w:rPr>
              <w:t>项目</w:t>
            </w:r>
          </w:p>
        </w:tc>
        <w:tc>
          <w:tcPr>
            <w:tcW w:type="dxa" w:w="3175"/>
          </w:tcPr>
          <w:p>
            <w:r/>
            <w:r>
              <w:rPr>
                <w:rFonts w:ascii="黑体" w:hAnsi="黑体" w:eastAsia="黑体"/>
                <w:b/>
                <w:sz w:val="19"/>
              </w:rPr>
              <w:t>最低配置</w:t>
            </w:r>
          </w:p>
        </w:tc>
        <w:tc>
          <w:tcPr>
            <w:tcW w:type="dxa" w:w="4082"/>
          </w:tcPr>
          <w:p>
            <w:r/>
            <w:r>
              <w:rPr>
                <w:rFonts w:ascii="黑体" w:hAnsi="黑体" w:eastAsia="黑体"/>
                <w:b/>
                <w:sz w:val="19"/>
              </w:rPr>
              <w:t>推荐配置</w:t>
            </w:r>
          </w:p>
        </w:tc>
      </w:tr>
      <w:tr>
        <w:tc>
          <w:tcPr>
            <w:tcW w:type="dxa" w:w="1701"/>
          </w:tcPr>
          <w:p>
            <w:r/>
            <w:r>
              <w:rPr>
                <w:rFonts w:ascii="Calibri" w:hAnsi="Calibri" w:eastAsia="宋体"/>
                <w:b w:val="0"/>
                <w:sz w:val="19"/>
              </w:rPr>
              <w:t>处理器</w:t>
            </w:r>
          </w:p>
        </w:tc>
        <w:tc>
          <w:tcPr>
            <w:tcW w:type="dxa" w:w="3175"/>
          </w:tcPr>
          <w:p>
            <w:r/>
            <w:r>
              <w:rPr>
                <w:rFonts w:ascii="Calibri" w:hAnsi="Calibri" w:eastAsia="宋体"/>
                <w:b w:val="0"/>
                <w:sz w:val="19"/>
              </w:rPr>
              <w:t>双核 2.0 GHz</w:t>
            </w:r>
          </w:p>
        </w:tc>
        <w:tc>
          <w:tcPr>
            <w:tcW w:type="dxa" w:w="4082"/>
          </w:tcPr>
          <w:p>
            <w:r/>
            <w:r>
              <w:rPr>
                <w:rFonts w:ascii="Calibri" w:hAnsi="Calibri" w:eastAsia="宋体"/>
                <w:b w:val="0"/>
                <w:sz w:val="19"/>
              </w:rPr>
              <w:t>四核 2.5 GHz 及以上</w:t>
            </w:r>
          </w:p>
        </w:tc>
      </w:tr>
      <w:tr>
        <w:tc>
          <w:tcPr>
            <w:tcW w:type="dxa" w:w="1701"/>
          </w:tcPr>
          <w:p>
            <w:r/>
            <w:r>
              <w:rPr>
                <w:rFonts w:ascii="Calibri" w:hAnsi="Calibri" w:eastAsia="宋体"/>
                <w:b w:val="0"/>
                <w:sz w:val="19"/>
              </w:rPr>
              <w:t>内存</w:t>
            </w:r>
          </w:p>
        </w:tc>
        <w:tc>
          <w:tcPr>
            <w:tcW w:type="dxa" w:w="3175"/>
          </w:tcPr>
          <w:p>
            <w:r/>
            <w:r>
              <w:rPr>
                <w:rFonts w:ascii="Calibri" w:hAnsi="Calibri" w:eastAsia="宋体"/>
                <w:b w:val="0"/>
                <w:sz w:val="19"/>
              </w:rPr>
              <w:t>4 GB</w:t>
            </w:r>
          </w:p>
        </w:tc>
        <w:tc>
          <w:tcPr>
            <w:tcW w:type="dxa" w:w="4082"/>
          </w:tcPr>
          <w:p>
            <w:r/>
            <w:r>
              <w:rPr>
                <w:rFonts w:ascii="Calibri" w:hAnsi="Calibri" w:eastAsia="宋体"/>
                <w:b w:val="0"/>
                <w:sz w:val="19"/>
              </w:rPr>
              <w:t>8 GB 及以上</w:t>
            </w:r>
          </w:p>
        </w:tc>
      </w:tr>
      <w:tr>
        <w:tc>
          <w:tcPr>
            <w:tcW w:type="dxa" w:w="1701"/>
          </w:tcPr>
          <w:p>
            <w:r/>
            <w:r>
              <w:rPr>
                <w:rFonts w:ascii="Calibri" w:hAnsi="Calibri" w:eastAsia="宋体"/>
                <w:b w:val="0"/>
                <w:sz w:val="19"/>
              </w:rPr>
              <w:t>硬盘</w:t>
            </w:r>
          </w:p>
        </w:tc>
        <w:tc>
          <w:tcPr>
            <w:tcW w:type="dxa" w:w="3175"/>
          </w:tcPr>
          <w:p>
            <w:r/>
            <w:r>
              <w:rPr>
                <w:rFonts w:ascii="Calibri" w:hAnsi="Calibri" w:eastAsia="宋体"/>
                <w:b w:val="0"/>
                <w:sz w:val="19"/>
              </w:rPr>
              <w:t>2 GB 可用空间</w:t>
            </w:r>
          </w:p>
        </w:tc>
        <w:tc>
          <w:tcPr>
            <w:tcW w:type="dxa" w:w="4082"/>
          </w:tcPr>
          <w:p>
            <w:r/>
            <w:r>
              <w:rPr>
                <w:rFonts w:ascii="Calibri" w:hAnsi="Calibri" w:eastAsia="宋体"/>
                <w:b w:val="0"/>
                <w:sz w:val="19"/>
              </w:rPr>
              <w:t>10 GB 可用空间（SSD）</w:t>
            </w:r>
          </w:p>
        </w:tc>
      </w:tr>
      <w:tr>
        <w:tc>
          <w:tcPr>
            <w:tcW w:type="dxa" w:w="1701"/>
          </w:tcPr>
          <w:p>
            <w:r/>
            <w:r>
              <w:rPr>
                <w:rFonts w:ascii="Calibri" w:hAnsi="Calibri" w:eastAsia="宋体"/>
                <w:b w:val="0"/>
                <w:sz w:val="19"/>
              </w:rPr>
              <w:t>显示</w:t>
            </w:r>
          </w:p>
        </w:tc>
        <w:tc>
          <w:tcPr>
            <w:tcW w:type="dxa" w:w="3175"/>
          </w:tcPr>
          <w:p>
            <w:r/>
            <w:r>
              <w:rPr>
                <w:rFonts w:ascii="Calibri" w:hAnsi="Calibri" w:eastAsia="宋体"/>
                <w:b w:val="0"/>
                <w:sz w:val="19"/>
              </w:rPr>
              <w:t>1280×800 分辨率</w:t>
            </w:r>
          </w:p>
        </w:tc>
        <w:tc>
          <w:tcPr>
            <w:tcW w:type="dxa" w:w="4082"/>
          </w:tcPr>
          <w:p>
            <w:r/>
            <w:r>
              <w:rPr>
                <w:rFonts w:ascii="Calibri" w:hAnsi="Calibri" w:eastAsia="宋体"/>
                <w:b w:val="0"/>
                <w:sz w:val="19"/>
              </w:rPr>
              <w:t>1920×1080 及以上</w:t>
            </w:r>
          </w:p>
        </w:tc>
      </w:tr>
    </w:tbl>
    <w:p>
      <w:pPr>
        <w:spacing w:before="160" w:after="120"/>
      </w:pPr>
      <w:r>
        <w:rPr>
          <w:rFonts w:ascii="黑体" w:hAnsi="黑体" w:eastAsia="黑体"/>
          <w:b/>
          <w:sz w:val="24"/>
        </w:rPr>
        <w:t>2.2 软件环境</w:t>
      </w:r>
    </w:p>
    <w:tbl>
      <w:tblPr>
        <w:tblStyle w:val="TableGrid"/>
        <w:tblW w:type="auto" w:w="0"/>
        <w:jc w:val="center"/>
        <w:tblLook w:firstColumn="1" w:firstRow="1" w:lastColumn="0" w:lastRow="0" w:noHBand="0" w:noVBand="1" w:val="04A0"/>
      </w:tblPr>
      <w:tblGrid>
        <w:gridCol w:w="4535"/>
        <w:gridCol w:w="4535"/>
      </w:tblGrid>
      <w:tr>
        <w:tc>
          <w:tcPr>
            <w:tcW w:type="dxa" w:w="1814"/>
          </w:tcPr>
          <w:p>
            <w:r/>
            <w:r>
              <w:rPr>
                <w:rFonts w:ascii="黑体" w:hAnsi="黑体" w:eastAsia="黑体"/>
                <w:b/>
                <w:sz w:val="19"/>
              </w:rPr>
              <w:t>类别</w:t>
            </w:r>
          </w:p>
        </w:tc>
        <w:tc>
          <w:tcPr>
            <w:tcW w:type="dxa" w:w="7143"/>
          </w:tcPr>
          <w:p>
            <w:r/>
            <w:r>
              <w:rPr>
                <w:rFonts w:ascii="黑体" w:hAnsi="黑体" w:eastAsia="黑体"/>
                <w:b/>
                <w:sz w:val="19"/>
              </w:rPr>
              <w:t>要求</w:t>
            </w:r>
          </w:p>
        </w:tc>
      </w:tr>
      <w:tr>
        <w:tc>
          <w:tcPr>
            <w:tcW w:type="dxa" w:w="1814"/>
          </w:tcPr>
          <w:p>
            <w:r/>
            <w:r>
              <w:rPr>
                <w:rFonts w:ascii="Calibri" w:hAnsi="Calibri" w:eastAsia="宋体"/>
                <w:b w:val="0"/>
                <w:sz w:val="19"/>
              </w:rPr>
              <w:t>操作系统</w:t>
            </w:r>
          </w:p>
        </w:tc>
        <w:tc>
          <w:tcPr>
            <w:tcW w:type="dxa" w:w="7143"/>
          </w:tcPr>
          <w:p>
            <w:r/>
            <w:r>
              <w:rPr>
                <w:rFonts w:ascii="Calibri" w:hAnsi="Calibri" w:eastAsia="宋体"/>
                <w:b w:val="0"/>
                <w:sz w:val="19"/>
              </w:rPr>
              <w:t>Windows 10/11、Linux（x86_64）或 macOS</w:t>
            </w:r>
          </w:p>
        </w:tc>
      </w:tr>
      <w:tr>
        <w:tc>
          <w:tcPr>
            <w:tcW w:type="dxa" w:w="1814"/>
          </w:tcPr>
          <w:p>
            <w:r/>
            <w:r>
              <w:rPr>
                <w:rFonts w:ascii="Calibri" w:hAnsi="Calibri" w:eastAsia="宋体"/>
                <w:b w:val="0"/>
                <w:sz w:val="19"/>
              </w:rPr>
              <w:t>运行环境</w:t>
            </w:r>
          </w:p>
        </w:tc>
        <w:tc>
          <w:tcPr>
            <w:tcW w:type="dxa" w:w="7143"/>
          </w:tcPr>
          <w:p>
            <w:r/>
            <w:r>
              <w:rPr>
                <w:rFonts w:ascii="Calibri" w:hAnsi="Calibri" w:eastAsia="宋体"/>
                <w:b w:val="0"/>
                <w:sz w:val="19"/>
              </w:rPr>
              <w:t>JDK 17 及以上；Node.js 18 及以上</w:t>
            </w:r>
          </w:p>
        </w:tc>
      </w:tr>
      <w:tr>
        <w:tc>
          <w:tcPr>
            <w:tcW w:type="dxa" w:w="1814"/>
          </w:tcPr>
          <w:p>
            <w:r/>
            <w:r>
              <w:rPr>
                <w:rFonts w:ascii="Calibri" w:hAnsi="Calibri" w:eastAsia="宋体"/>
                <w:b w:val="0"/>
                <w:sz w:val="19"/>
              </w:rPr>
              <w:t>数据库</w:t>
            </w:r>
          </w:p>
        </w:tc>
        <w:tc>
          <w:tcPr>
            <w:tcW w:type="dxa" w:w="7143"/>
          </w:tcPr>
          <w:p>
            <w:r/>
            <w:r>
              <w:rPr>
                <w:rFonts w:ascii="Calibri" w:hAnsi="Calibri" w:eastAsia="宋体"/>
                <w:b w:val="0"/>
                <w:sz w:val="19"/>
              </w:rPr>
              <w:t>MySQL 5.7 及以上</w:t>
            </w:r>
          </w:p>
        </w:tc>
      </w:tr>
      <w:tr>
        <w:tc>
          <w:tcPr>
            <w:tcW w:type="dxa" w:w="1814"/>
          </w:tcPr>
          <w:p>
            <w:r/>
            <w:r>
              <w:rPr>
                <w:rFonts w:ascii="Calibri" w:hAnsi="Calibri" w:eastAsia="宋体"/>
                <w:b w:val="0"/>
                <w:sz w:val="19"/>
              </w:rPr>
              <w:t>服务端框架</w:t>
            </w:r>
          </w:p>
        </w:tc>
        <w:tc>
          <w:tcPr>
            <w:tcW w:type="dxa" w:w="7143"/>
          </w:tcPr>
          <w:p>
            <w:r/>
            <w:r>
              <w:rPr>
                <w:rFonts w:ascii="Calibri" w:hAnsi="Calibri" w:eastAsia="宋体"/>
                <w:b w:val="0"/>
                <w:sz w:val="19"/>
              </w:rPr>
              <w:t>Spring Boot 3.4 + MyBatis + Druid</w:t>
            </w:r>
          </w:p>
        </w:tc>
      </w:tr>
      <w:tr>
        <w:tc>
          <w:tcPr>
            <w:tcW w:type="dxa" w:w="1814"/>
          </w:tcPr>
          <w:p>
            <w:r/>
            <w:r>
              <w:rPr>
                <w:rFonts w:ascii="Calibri" w:hAnsi="Calibri" w:eastAsia="宋体"/>
                <w:b w:val="0"/>
                <w:sz w:val="19"/>
              </w:rPr>
              <w:t>前端框架</w:t>
            </w:r>
          </w:p>
        </w:tc>
        <w:tc>
          <w:tcPr>
            <w:tcW w:type="dxa" w:w="7143"/>
          </w:tcPr>
          <w:p>
            <w:r/>
            <w:r>
              <w:rPr>
                <w:rFonts w:ascii="Calibri" w:hAnsi="Calibri" w:eastAsia="宋体"/>
                <w:b w:val="0"/>
                <w:sz w:val="19"/>
              </w:rPr>
              <w:t>Vue 3.5 + Vite 6 + ECharts 6</w:t>
            </w:r>
          </w:p>
        </w:tc>
      </w:tr>
      <w:tr>
        <w:tc>
          <w:tcPr>
            <w:tcW w:type="dxa" w:w="1814"/>
          </w:tcPr>
          <w:p>
            <w:r/>
            <w:r>
              <w:rPr>
                <w:rFonts w:ascii="Calibri" w:hAnsi="Calibri" w:eastAsia="宋体"/>
                <w:b w:val="0"/>
                <w:sz w:val="19"/>
              </w:rPr>
              <w:t>浏览器</w:t>
            </w:r>
          </w:p>
        </w:tc>
        <w:tc>
          <w:tcPr>
            <w:tcW w:type="dxa" w:w="7143"/>
          </w:tcPr>
          <w:p>
            <w:r/>
            <w:r>
              <w:rPr>
                <w:rFonts w:ascii="Calibri" w:hAnsi="Calibri" w:eastAsia="宋体"/>
                <w:b w:val="0"/>
                <w:sz w:val="19"/>
              </w:rPr>
              <w:t>Chrome / Edge / Firefox 等现代浏览器（支持 ES2020）</w:t>
            </w:r>
          </w:p>
        </w:tc>
      </w:tr>
      <w:tr>
        <w:tc>
          <w:tcPr>
            <w:tcW w:type="dxa" w:w="1814"/>
          </w:tcPr>
          <w:p>
            <w:r/>
            <w:r>
              <w:rPr>
                <w:rFonts w:ascii="Calibri" w:hAnsi="Calibri" w:eastAsia="宋体"/>
                <w:b w:val="0"/>
                <w:sz w:val="19"/>
              </w:rPr>
              <w:t>开发语言</w:t>
            </w:r>
          </w:p>
        </w:tc>
        <w:tc>
          <w:tcPr>
            <w:tcW w:type="dxa" w:w="7143"/>
          </w:tcPr>
          <w:p>
            <w:r/>
            <w:r>
              <w:rPr>
                <w:rFonts w:ascii="Calibri" w:hAnsi="Calibri" w:eastAsia="宋体"/>
                <w:b w:val="0"/>
                <w:sz w:val="19"/>
              </w:rPr>
              <w:t>Java、JavaScript、Python 3（数据采集与质量测试）</w:t>
            </w:r>
          </w:p>
        </w:tc>
      </w:tr>
    </w:tbl>
    <w:p>
      <w:pPr>
        <w:spacing w:before="160" w:after="120"/>
      </w:pPr>
      <w:r>
        <w:rPr>
          <w:rFonts w:ascii="黑体" w:hAnsi="黑体" w:eastAsia="黑体"/>
          <w:b/>
          <w:sz w:val="24"/>
        </w:rPr>
        <w:t>2.3 网络要求</w:t>
      </w:r>
    </w:p>
    <w:p>
      <w:pPr>
        <w:spacing w:after="80" w:line="360" w:lineRule="auto"/>
        <w:ind w:firstLine="420"/>
      </w:pPr>
      <w:r>
        <w:rPr>
          <w:rFonts w:ascii="Calibri" w:hAnsi="Calibri" w:eastAsia="宋体"/>
          <w:b w:val="0"/>
          <w:sz w:val="21"/>
        </w:rPr>
        <w:t>系统支持完全离线运行：AI 模块提供 mock 确定性模式，无需任何外部接口即可演示全部功能。若需接入真实大模型，则需可访问所选模型的 OpenAI 兼容接口（如 DeepSeek 云端接口），或在本地运行 Ollama 等推理服务并将接口地址指向本机。</w:t>
      </w:r>
    </w:p>
    <w:p>
      <w:r>
        <w:br w:type="page"/>
      </w:r>
    </w:p>
    <w:p>
      <w:pPr>
        <w:spacing w:before="240" w:after="120"/>
      </w:pPr>
      <w:r>
        <w:rPr>
          <w:rFonts w:ascii="黑体" w:hAnsi="黑体" w:eastAsia="黑体"/>
          <w:b/>
          <w:sz w:val="28"/>
        </w:rPr>
        <w:t>第三章　系统架构与技术特点</w:t>
      </w:r>
    </w:p>
    <w:p>
      <w:pPr>
        <w:spacing w:before="160" w:after="120"/>
      </w:pPr>
      <w:r>
        <w:rPr>
          <w:rFonts w:ascii="黑体" w:hAnsi="黑体" w:eastAsia="黑体"/>
          <w:b/>
          <w:sz w:val="24"/>
        </w:rPr>
        <w:t>3.1 总体架构</w:t>
      </w:r>
    </w:p>
    <w:p>
      <w:pPr>
        <w:spacing w:after="80" w:line="360" w:lineRule="auto"/>
        <w:ind w:firstLine="420"/>
      </w:pPr>
      <w:r>
        <w:rPr>
          <w:rFonts w:ascii="Calibri" w:hAnsi="Calibri" w:eastAsia="宋体"/>
          <w:b w:val="0"/>
          <w:sz w:val="21"/>
        </w:rPr>
        <w:t>软件采用“数据计算层 + 智能解读层”的双层解耦架构：</w:t>
      </w:r>
    </w:p>
    <w:p>
      <w:pPr>
        <w:pStyle w:val="ListBullet"/>
        <w:spacing w:after="40" w:line="336" w:lineRule="auto"/>
      </w:pPr>
      <w:r>
        <w:rPr>
          <w:rFonts w:ascii="Calibri" w:hAnsi="Calibri" w:eastAsia="宋体"/>
          <w:b w:val="0"/>
          <w:sz w:val="21"/>
        </w:rPr>
        <w:t>数据计算层：负责数据采集、指标计算、行业对标统计与估值快照，输出结构化、可溯源的计算结果；</w:t>
      </w:r>
    </w:p>
    <w:p>
      <w:pPr>
        <w:pStyle w:val="ListBullet"/>
        <w:spacing w:after="40" w:line="336" w:lineRule="auto"/>
      </w:pPr>
      <w:r>
        <w:rPr>
          <w:rFonts w:ascii="Calibri" w:hAnsi="Calibri" w:eastAsia="宋体"/>
          <w:b w:val="0"/>
          <w:sz w:val="21"/>
        </w:rPr>
        <w:t>智能解读层：将计算结果序列化为数据上下文，通过三层 Prompt 驱动大模型生成解读报告，并校验报告中的数字。</w:t>
      </w:r>
    </w:p>
    <w:p>
      <w:pPr>
        <w:spacing w:after="80" w:line="360" w:lineRule="auto"/>
        <w:ind w:firstLine="420"/>
      </w:pPr>
      <w:r>
        <w:rPr>
          <w:rFonts w:ascii="Calibri" w:hAnsi="Calibri" w:eastAsia="宋体"/>
          <w:b w:val="0"/>
          <w:sz w:val="21"/>
        </w:rPr>
        <w:t>两层之间通过结构化数据上下文（JSON）衔接，模型不参与任何数值计算，从根本上把“算数”和“表达”分开。</w:t>
      </w:r>
    </w:p>
    <w:p>
      <w:pPr>
        <w:spacing w:before="160" w:after="120"/>
      </w:pPr>
      <w:r>
        <w:rPr>
          <w:rFonts w:ascii="黑体" w:hAnsi="黑体" w:eastAsia="黑体"/>
          <w:b/>
          <w:sz w:val="24"/>
        </w:rPr>
        <w:t>3.2 技术栈</w:t>
      </w:r>
    </w:p>
    <w:tbl>
      <w:tblPr>
        <w:tblStyle w:val="TableGrid"/>
        <w:tblW w:type="auto" w:w="0"/>
        <w:jc w:val="center"/>
        <w:tblLook w:firstColumn="1" w:firstRow="1" w:lastColumn="0" w:lastRow="0" w:noHBand="0" w:noVBand="1" w:val="04A0"/>
      </w:tblPr>
      <w:tblGrid>
        <w:gridCol w:w="4535"/>
        <w:gridCol w:w="4535"/>
      </w:tblGrid>
      <w:tr>
        <w:tc>
          <w:tcPr>
            <w:tcW w:type="dxa" w:w="1701"/>
          </w:tcPr>
          <w:p>
            <w:r/>
            <w:r>
              <w:rPr>
                <w:rFonts w:ascii="黑体" w:hAnsi="黑体" w:eastAsia="黑体"/>
                <w:b/>
                <w:sz w:val="19"/>
              </w:rPr>
              <w:t>层次</w:t>
            </w:r>
          </w:p>
        </w:tc>
        <w:tc>
          <w:tcPr>
            <w:tcW w:type="dxa" w:w="7257"/>
          </w:tcPr>
          <w:p>
            <w:r/>
            <w:r>
              <w:rPr>
                <w:rFonts w:ascii="黑体" w:hAnsi="黑体" w:eastAsia="黑体"/>
                <w:b/>
                <w:sz w:val="19"/>
              </w:rPr>
              <w:t>技术选型</w:t>
            </w:r>
          </w:p>
        </w:tc>
      </w:tr>
      <w:tr>
        <w:tc>
          <w:tcPr>
            <w:tcW w:type="dxa" w:w="1701"/>
          </w:tcPr>
          <w:p>
            <w:r/>
            <w:r>
              <w:rPr>
                <w:rFonts w:ascii="Calibri" w:hAnsi="Calibri" w:eastAsia="宋体"/>
                <w:b w:val="0"/>
                <w:sz w:val="19"/>
              </w:rPr>
              <w:t>后端</w:t>
            </w:r>
          </w:p>
        </w:tc>
        <w:tc>
          <w:tcPr>
            <w:tcW w:type="dxa" w:w="7257"/>
          </w:tcPr>
          <w:p>
            <w:r/>
            <w:r>
              <w:rPr>
                <w:rFonts w:ascii="Calibri" w:hAnsi="Calibri" w:eastAsia="宋体"/>
                <w:b w:val="0"/>
                <w:sz w:val="19"/>
              </w:rPr>
              <w:t>Spring Boot 3.4、MyBatis、MySQL 5.7、Druid 连接池</w:t>
            </w:r>
          </w:p>
        </w:tc>
      </w:tr>
      <w:tr>
        <w:tc>
          <w:tcPr>
            <w:tcW w:type="dxa" w:w="1701"/>
          </w:tcPr>
          <w:p>
            <w:r/>
            <w:r>
              <w:rPr>
                <w:rFonts w:ascii="Calibri" w:hAnsi="Calibri" w:eastAsia="宋体"/>
                <w:b w:val="0"/>
                <w:sz w:val="19"/>
              </w:rPr>
              <w:t>前端</w:t>
            </w:r>
          </w:p>
        </w:tc>
        <w:tc>
          <w:tcPr>
            <w:tcW w:type="dxa" w:w="7257"/>
          </w:tcPr>
          <w:p>
            <w:r/>
            <w:r>
              <w:rPr>
                <w:rFonts w:ascii="Calibri" w:hAnsi="Calibri" w:eastAsia="宋体"/>
                <w:b w:val="0"/>
                <w:sz w:val="19"/>
              </w:rPr>
              <w:t>Vue 3.5（组合式 API）、Vite 6、ECharts 6（按需引入）</w:t>
            </w:r>
          </w:p>
        </w:tc>
      </w:tr>
      <w:tr>
        <w:tc>
          <w:tcPr>
            <w:tcW w:type="dxa" w:w="1701"/>
          </w:tcPr>
          <w:p>
            <w:r/>
            <w:r>
              <w:rPr>
                <w:rFonts w:ascii="Calibri" w:hAnsi="Calibri" w:eastAsia="宋体"/>
                <w:b w:val="0"/>
                <w:sz w:val="19"/>
              </w:rPr>
              <w:t>数据</w:t>
            </w:r>
          </w:p>
        </w:tc>
        <w:tc>
          <w:tcPr>
            <w:tcW w:type="dxa" w:w="7257"/>
          </w:tcPr>
          <w:p>
            <w:r/>
            <w:r>
              <w:rPr>
                <w:rFonts w:ascii="Calibri" w:hAnsi="Calibri" w:eastAsia="宋体"/>
                <w:b w:val="0"/>
                <w:sz w:val="19"/>
              </w:rPr>
              <w:t>东方财富数据中心接口、新浪财经日 K 线接口</w:t>
            </w:r>
          </w:p>
        </w:tc>
      </w:tr>
      <w:tr>
        <w:tc>
          <w:tcPr>
            <w:tcW w:type="dxa" w:w="1701"/>
          </w:tcPr>
          <w:p>
            <w:r/>
            <w:r>
              <w:rPr>
                <w:rFonts w:ascii="Calibri" w:hAnsi="Calibri" w:eastAsia="宋体"/>
                <w:b w:val="0"/>
                <w:sz w:val="19"/>
              </w:rPr>
              <w:t>AI</w:t>
            </w:r>
          </w:p>
        </w:tc>
        <w:tc>
          <w:tcPr>
            <w:tcW w:type="dxa" w:w="7257"/>
          </w:tcPr>
          <w:p>
            <w:r/>
            <w:r>
              <w:rPr>
                <w:rFonts w:ascii="Calibri" w:hAnsi="Calibri" w:eastAsia="宋体"/>
                <w:b w:val="0"/>
                <w:sz w:val="19"/>
              </w:rPr>
              <w:t>OpenAI 兼容接口（DeepSeek 等）与确定性 mock 双模式</w:t>
            </w:r>
          </w:p>
        </w:tc>
      </w:tr>
      <w:tr>
        <w:tc>
          <w:tcPr>
            <w:tcW w:type="dxa" w:w="1701"/>
          </w:tcPr>
          <w:p>
            <w:r/>
            <w:r>
              <w:rPr>
                <w:rFonts w:ascii="Calibri" w:hAnsi="Calibri" w:eastAsia="宋体"/>
                <w:b w:val="0"/>
                <w:sz w:val="19"/>
              </w:rPr>
              <w:t>工具</w:t>
            </w:r>
          </w:p>
        </w:tc>
        <w:tc>
          <w:tcPr>
            <w:tcW w:type="dxa" w:w="7257"/>
          </w:tcPr>
          <w:p>
            <w:r/>
            <w:r>
              <w:rPr>
                <w:rFonts w:ascii="Calibri" w:hAnsi="Calibri" w:eastAsia="宋体"/>
                <w:b w:val="0"/>
                <w:sz w:val="19"/>
              </w:rPr>
              <w:t>Python（数据采集、数值溯源校验、统计检验、图表与文档生成）</w:t>
            </w:r>
          </w:p>
        </w:tc>
      </w:tr>
    </w:tbl>
    <w:p>
      <w:pPr>
        <w:spacing w:before="160" w:after="120"/>
      </w:pPr>
      <w:r>
        <w:rPr>
          <w:rFonts w:ascii="黑体" w:hAnsi="黑体" w:eastAsia="黑体"/>
          <w:b/>
          <w:sz w:val="24"/>
        </w:rPr>
        <w:t>3.3 技术特点</w:t>
      </w:r>
    </w:p>
    <w:p>
      <w:pPr>
        <w:pStyle w:val="ListBullet"/>
        <w:spacing w:after="40" w:line="336" w:lineRule="auto"/>
      </w:pPr>
      <w:r>
        <w:rPr>
          <w:rFonts w:ascii="Calibri" w:hAnsi="Calibri" w:eastAsia="宋体"/>
          <w:b w:val="0"/>
          <w:sz w:val="21"/>
        </w:rPr>
        <w:t>数值可溯源：报告中的每个数字都能在系统计算数据中找到出处，前端以绿色/黄色高亮区分“可溯源”与“待核对”，并给出数值可溯源率；</w:t>
      </w:r>
    </w:p>
    <w:p>
      <w:pPr>
        <w:pStyle w:val="ListBullet"/>
        <w:spacing w:after="40" w:line="336" w:lineRule="auto"/>
      </w:pPr>
      <w:r>
        <w:rPr>
          <w:rFonts w:ascii="Calibri" w:hAnsi="Calibri" w:eastAsia="宋体"/>
          <w:b w:val="0"/>
          <w:sz w:val="21"/>
        </w:rPr>
        <w:t>行业对标可复现：按 行业×年度×指标 统计均值、中位数、P25、P75，并以方向感知方式计算百分位评分与排名（如资产负债率越低越优），口径固定、结果可复现；</w:t>
      </w:r>
    </w:p>
    <w:p>
      <w:pPr>
        <w:pStyle w:val="ListBullet"/>
        <w:spacing w:after="40" w:line="336" w:lineRule="auto"/>
      </w:pPr>
      <w:r>
        <w:rPr>
          <w:rFonts w:ascii="Calibri" w:hAnsi="Calibri" w:eastAsia="宋体"/>
          <w:b w:val="0"/>
          <w:sz w:val="21"/>
        </w:rPr>
        <w:t>三层 Prompt 工程：角色设定（system）+ 数据注入（system）+ 输出约束（user），模板存库、带版本号，可在线调整；</w:t>
      </w:r>
    </w:p>
    <w:p>
      <w:pPr>
        <w:pStyle w:val="ListBullet"/>
        <w:spacing w:after="40" w:line="336" w:lineRule="auto"/>
      </w:pPr>
      <w:r>
        <w:rPr>
          <w:rFonts w:ascii="Calibri" w:hAnsi="Calibri" w:eastAsia="宋体"/>
          <w:b w:val="0"/>
          <w:sz w:val="21"/>
        </w:rPr>
        <w:t>确定性降级：当模型接口不可用时自动切换为基于注入数据的确定性生成器，保证系统始终可用且输出可验证；</w:t>
      </w:r>
    </w:p>
    <w:p>
      <w:pPr>
        <w:pStyle w:val="ListBullet"/>
        <w:spacing w:after="40" w:line="336" w:lineRule="auto"/>
      </w:pPr>
      <w:r>
        <w:rPr>
          <w:rFonts w:ascii="Calibri" w:hAnsi="Calibri" w:eastAsia="宋体"/>
          <w:b w:val="0"/>
          <w:sz w:val="21"/>
        </w:rPr>
        <w:t>全链路留痕：每次生成连同注入上下文一并保存，便于事后审计模型是否使用了非注入数据。</w:t>
      </w:r>
    </w:p>
    <w:p>
      <w:r>
        <w:br w:type="page"/>
      </w:r>
    </w:p>
    <w:p>
      <w:pPr>
        <w:spacing w:before="240" w:after="120"/>
      </w:pPr>
      <w:r>
        <w:rPr>
          <w:rFonts w:ascii="黑体" w:hAnsi="黑体" w:eastAsia="黑体"/>
          <w:b/>
          <w:sz w:val="28"/>
        </w:rPr>
        <w:t>第四章　安装与部署</w:t>
      </w:r>
    </w:p>
    <w:p>
      <w:pPr>
        <w:spacing w:before="160" w:after="120"/>
      </w:pPr>
      <w:r>
        <w:rPr>
          <w:rFonts w:ascii="黑体" w:hAnsi="黑体" w:eastAsia="黑体"/>
          <w:b/>
          <w:sz w:val="24"/>
        </w:rPr>
        <w:t>4.1 数据库初始化</w:t>
      </w:r>
    </w:p>
    <w:p>
      <w:pPr>
        <w:spacing w:after="80" w:line="360" w:lineRule="auto"/>
        <w:ind w:firstLine="420"/>
      </w:pPr>
      <w:r>
        <w:rPr>
          <w:rFonts w:ascii="Calibri" w:hAnsi="Calibri" w:eastAsia="宋体"/>
          <w:b w:val="0"/>
          <w:sz w:val="21"/>
        </w:rPr>
        <w:t>在 MySQL 中执行建库脚本与数据脚本（脚本位于 backend/sql 目录）：</w:t>
      </w:r>
    </w:p>
    <w:p>
      <w:pPr>
        <w:spacing w:after="40"/>
        <w:ind w:left="567"/>
      </w:pPr>
      <w:r>
        <w:rPr>
          <w:rFonts w:ascii="Consolas" w:hAnsi="Consolas" w:eastAsia="宋体"/>
          <w:b w:val="0"/>
          <w:sz w:val="18"/>
        </w:rPr>
        <w:t>mysql -uroot -p --default-character-set=utf8mb4 -e "source 01_schema.sql"</w:t>
      </w:r>
    </w:p>
    <w:p>
      <w:pPr>
        <w:spacing w:after="40"/>
        <w:ind w:left="567"/>
      </w:pPr>
      <w:r>
        <w:rPr>
          <w:rFonts w:ascii="Consolas" w:hAnsi="Consolas" w:eastAsia="宋体"/>
          <w:b w:val="0"/>
          <w:sz w:val="18"/>
        </w:rPr>
        <w:t>mysql -uroot -p --default-character-set=utf8mb4 -e "source 03_real_data.sql"</w:t>
      </w:r>
    </w:p>
    <w:p>
      <w:pPr>
        <w:spacing w:before="160" w:after="120"/>
      </w:pPr>
      <w:r>
        <w:rPr>
          <w:rFonts w:ascii="黑体" w:hAnsi="黑体" w:eastAsia="黑体"/>
          <w:b/>
          <w:sz w:val="24"/>
        </w:rPr>
        <w:t>4.2 启动后端服务</w:t>
      </w:r>
    </w:p>
    <w:p>
      <w:pPr>
        <w:spacing w:after="40"/>
        <w:ind w:left="567"/>
      </w:pPr>
      <w:r>
        <w:rPr>
          <w:rFonts w:ascii="Consolas" w:hAnsi="Consolas" w:eastAsia="宋体"/>
          <w:b w:val="0"/>
          <w:sz w:val="18"/>
        </w:rPr>
        <w:t>.\mvnw.cmd -DskipTests package</w:t>
      </w:r>
    </w:p>
    <w:p>
      <w:pPr>
        <w:spacing w:after="40"/>
        <w:ind w:left="567"/>
      </w:pPr>
      <w:r>
        <w:rPr>
          <w:rFonts w:ascii="Consolas" w:hAnsi="Consolas" w:eastAsia="宋体"/>
          <w:b w:val="0"/>
          <w:sz w:val="18"/>
        </w:rPr>
        <w:t>java -jar target\prompt_project-0.0.1-SNAPSHOT.jar</w:t>
      </w:r>
    </w:p>
    <w:p>
      <w:pPr>
        <w:spacing w:after="80" w:line="360" w:lineRule="auto"/>
        <w:ind w:firstLine="420"/>
      </w:pPr>
      <w:r>
        <w:rPr>
          <w:rFonts w:ascii="Calibri" w:hAnsi="Calibri" w:eastAsia="宋体"/>
          <w:b w:val="0"/>
          <w:sz w:val="21"/>
        </w:rPr>
        <w:t>服务默认监听 8091 端口。首次导入数据后需调用一次指标重算接口，生成指标与行业对标数据：</w:t>
      </w:r>
    </w:p>
    <w:p>
      <w:pPr>
        <w:ind w:left="567"/>
      </w:pPr>
      <w:r>
        <w:rPr>
          <w:rFonts w:ascii="Consolas" w:hAnsi="Consolas" w:eastAsia="宋体"/>
          <w:b w:val="0"/>
          <w:sz w:val="18"/>
        </w:rPr>
        <w:t>curl -X POST http://localhost:8091/api/finance/recalc -H "Content-Type: application/json" -d "{}"</w:t>
      </w:r>
    </w:p>
    <w:p>
      <w:pPr>
        <w:spacing w:before="160" w:after="120"/>
      </w:pPr>
      <w:r>
        <w:rPr>
          <w:rFonts w:ascii="黑体" w:hAnsi="黑体" w:eastAsia="黑体"/>
          <w:b/>
          <w:sz w:val="24"/>
        </w:rPr>
        <w:t>4.3 启动前端</w:t>
      </w:r>
    </w:p>
    <w:p>
      <w:pPr>
        <w:spacing w:after="80" w:line="360" w:lineRule="auto"/>
        <w:ind w:firstLine="420"/>
      </w:pPr>
      <w:r>
        <w:rPr>
          <w:rFonts w:ascii="Calibri" w:hAnsi="Calibri" w:eastAsia="宋体"/>
          <w:b w:val="0"/>
          <w:sz w:val="21"/>
        </w:rPr>
        <w:t>项目根目录提供启动脚本，双击“启动前端.bat”即可（首次会自动安装依赖）；也可手动执行：</w:t>
      </w:r>
    </w:p>
    <w:p>
      <w:pPr>
        <w:spacing w:after="40"/>
        <w:ind w:left="567"/>
      </w:pPr>
      <w:r>
        <w:rPr>
          <w:rFonts w:ascii="Consolas" w:hAnsi="Consolas" w:eastAsia="宋体"/>
          <w:b w:val="0"/>
          <w:sz w:val="18"/>
        </w:rPr>
        <w:t>cd frontend</w:t>
      </w:r>
    </w:p>
    <w:p>
      <w:pPr>
        <w:spacing w:after="40"/>
        <w:ind w:left="567"/>
      </w:pPr>
      <w:r>
        <w:rPr>
          <w:rFonts w:ascii="Consolas" w:hAnsi="Consolas" w:eastAsia="宋体"/>
          <w:b w:val="0"/>
          <w:sz w:val="18"/>
        </w:rPr>
        <w:t>npm install</w:t>
      </w:r>
    </w:p>
    <w:p>
      <w:pPr>
        <w:spacing w:after="40"/>
        <w:ind w:left="567"/>
      </w:pPr>
      <w:r>
        <w:rPr>
          <w:rFonts w:ascii="Consolas" w:hAnsi="Consolas" w:eastAsia="宋体"/>
          <w:b w:val="0"/>
          <w:sz w:val="18"/>
        </w:rPr>
        <w:t>npm run dev</w:t>
      </w:r>
    </w:p>
    <w:p>
      <w:pPr>
        <w:spacing w:after="80" w:line="360" w:lineRule="auto"/>
        <w:ind w:firstLine="420"/>
      </w:pPr>
      <w:r>
        <w:rPr>
          <w:rFonts w:ascii="Calibri" w:hAnsi="Calibri" w:eastAsia="宋体"/>
          <w:b w:val="0"/>
          <w:sz w:val="21"/>
        </w:rPr>
        <w:t>浏览器访问 http://localhost:5173 即可使用系统。</w:t>
      </w:r>
    </w:p>
    <w:p>
      <w:pPr>
        <w:spacing w:before="160" w:after="120"/>
      </w:pPr>
      <w:r>
        <w:rPr>
          <w:rFonts w:ascii="黑体" w:hAnsi="黑体" w:eastAsia="黑体"/>
          <w:b/>
          <w:sz w:val="24"/>
        </w:rPr>
        <w:t>4.4 大模型配置</w:t>
      </w:r>
    </w:p>
    <w:p>
      <w:pPr>
        <w:spacing w:after="80" w:line="360" w:lineRule="auto"/>
        <w:ind w:firstLine="420"/>
      </w:pPr>
      <w:r>
        <w:rPr>
          <w:rFonts w:ascii="Calibri" w:hAnsi="Calibri" w:eastAsia="宋体"/>
          <w:b w:val="0"/>
          <w:sz w:val="21"/>
        </w:rPr>
        <w:t>编辑 backend/src/main/resources/config/application-development.properties：</w:t>
      </w:r>
    </w:p>
    <w:p>
      <w:pPr>
        <w:spacing w:after="40"/>
        <w:ind w:left="567"/>
      </w:pPr>
      <w:r>
        <w:rPr>
          <w:rFonts w:ascii="Consolas" w:hAnsi="Consolas" w:eastAsia="宋体"/>
          <w:b w:val="0"/>
          <w:sz w:val="18"/>
        </w:rPr>
        <w:t>ai.provider=openai            # mock 为离线确定性模式</w:t>
      </w:r>
    </w:p>
    <w:p>
      <w:pPr>
        <w:spacing w:after="40"/>
        <w:ind w:left="567"/>
      </w:pPr>
      <w:r>
        <w:rPr>
          <w:rFonts w:ascii="Consolas" w:hAnsi="Consolas" w:eastAsia="宋体"/>
          <w:b w:val="0"/>
          <w:sz w:val="18"/>
        </w:rPr>
        <w:t>ai.base-url=https://api.deepseek.com/v1</w:t>
      </w:r>
    </w:p>
    <w:p>
      <w:pPr>
        <w:spacing w:after="40"/>
        <w:ind w:left="567"/>
      </w:pPr>
      <w:r>
        <w:rPr>
          <w:rFonts w:ascii="Consolas" w:hAnsi="Consolas" w:eastAsia="宋体"/>
          <w:b w:val="0"/>
          <w:sz w:val="18"/>
        </w:rPr>
        <w:t>ai.api-key=sk-xxxx</w:t>
      </w:r>
    </w:p>
    <w:p>
      <w:pPr>
        <w:spacing w:after="40"/>
        <w:ind w:left="567"/>
      </w:pPr>
      <w:r>
        <w:rPr>
          <w:rFonts w:ascii="Consolas" w:hAnsi="Consolas" w:eastAsia="宋体"/>
          <w:b w:val="0"/>
          <w:sz w:val="18"/>
        </w:rPr>
        <w:t>ai.model=deepseek-v4-flash</w:t>
      </w:r>
    </w:p>
    <w:p>
      <w:r>
        <w:br w:type="page"/>
      </w:r>
    </w:p>
    <w:p>
      <w:pPr>
        <w:spacing w:before="240" w:after="120"/>
      </w:pPr>
      <w:r>
        <w:rPr>
          <w:rFonts w:ascii="黑体" w:hAnsi="黑体" w:eastAsia="黑体"/>
          <w:b/>
          <w:sz w:val="28"/>
        </w:rPr>
        <w:t>第五章　功能操作说明</w:t>
      </w:r>
    </w:p>
    <w:p>
      <w:pPr>
        <w:spacing w:before="160" w:after="120"/>
      </w:pPr>
      <w:r>
        <w:rPr>
          <w:rFonts w:ascii="黑体" w:hAnsi="黑体" w:eastAsia="黑体"/>
          <w:b/>
          <w:sz w:val="24"/>
        </w:rPr>
        <w:t>5.1 系统概览</w:t>
      </w:r>
    </w:p>
    <w:p>
      <w:pPr>
        <w:spacing w:after="80" w:line="360" w:lineRule="auto"/>
        <w:ind w:firstLine="420"/>
      </w:pPr>
      <w:r>
        <w:rPr>
          <w:rFonts w:ascii="Calibri" w:hAnsi="Calibri" w:eastAsia="宋体"/>
          <w:b w:val="0"/>
          <w:sz w:val="21"/>
        </w:rPr>
        <w:t>系统概览页是进入软件后的首页，用于快速了解项目定位与数据规模。页面顶部展示项目定位与核心流程，中部以 KPI 卡片呈现覆盖行业数、样本公司数、标准化指标数与数据年度跨度，并以环形图展示行业样本分布、条形图展示指标维度覆盖；底部为指标字典与后端运行状态。右上角状态徽标实时显示后端服务与数据库连接状态，点击可重新检测。</w:t>
      </w:r>
    </w:p>
    <w:p>
      <w:pPr>
        <w:spacing w:before="120" w:after="0"/>
        <w:jc w:val="center"/>
      </w:pPr>
      <w:r>
        <w:drawing>
          <wp:inline xmlns:a="http://schemas.openxmlformats.org/drawingml/2006/main" xmlns:pic="http://schemas.openxmlformats.org/drawingml/2006/picture">
            <wp:extent cx="5400000" cy="3428033"/>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400000" cy="3428033"/>
                    </a:xfrm>
                    <a:prstGeom prst="rect"/>
                  </pic:spPr>
                </pic:pic>
              </a:graphicData>
            </a:graphic>
          </wp:inline>
        </w:drawing>
      </w:r>
    </w:p>
    <w:p>
      <w:pPr>
        <w:spacing w:before="40" w:after="200"/>
        <w:jc w:val="center"/>
      </w:pPr>
      <w:r>
        <w:rPr>
          <w:rFonts w:ascii="Calibri" w:hAnsi="Calibri" w:eastAsia="宋体"/>
          <w:b w:val="0"/>
          <w:sz w:val="18"/>
        </w:rPr>
        <w:t>图 5-1　系统概览页：项目定位、数据规模 KPI 与核心流程</w:t>
      </w:r>
    </w:p>
    <w:p>
      <w:pPr>
        <w:spacing w:before="160" w:after="120"/>
      </w:pPr>
      <w:r>
        <w:rPr>
          <w:rFonts w:ascii="黑体" w:hAnsi="黑体" w:eastAsia="黑体"/>
          <w:b/>
          <w:sz w:val="24"/>
        </w:rPr>
        <w:t>5.2 公司查询</w:t>
      </w:r>
    </w:p>
    <w:p>
      <w:pPr>
        <w:spacing w:after="80" w:line="360" w:lineRule="auto"/>
        <w:ind w:firstLine="420"/>
      </w:pPr>
      <w:r>
        <w:rPr>
          <w:rFonts w:ascii="Calibri" w:hAnsi="Calibri" w:eastAsia="宋体"/>
          <w:b w:val="0"/>
          <w:sz w:val="21"/>
        </w:rPr>
        <w:t>公司查询页支持按股票代码、股票简称或公司全称进行模糊检索，并可叠加行业筛选。查询结果支持“表格”与“卡片”两种视图切换，表格视图展示代码、简称、全称、所属行业、交易所与上市日期；卡片视图以卡片形式突出公司名称与行业。底部为分页控件，可切换每页条数。点击任意一行或卡片即载入该公司，系统自动跳转至财务画像页。</w:t>
      </w:r>
    </w:p>
    <w:p>
      <w:pPr>
        <w:spacing w:before="120" w:after="0"/>
        <w:jc w:val="center"/>
      </w:pPr>
      <w:r>
        <w:drawing>
          <wp:inline xmlns:a="http://schemas.openxmlformats.org/drawingml/2006/main" xmlns:pic="http://schemas.openxmlformats.org/drawingml/2006/picture">
            <wp:extent cx="5400000" cy="3428033"/>
            <wp:docPr id="2" name="Picture 2"/>
            <wp:cNvGraphicFramePr>
              <a:graphicFrameLocks noChangeAspect="1"/>
            </wp:cNvGraphicFramePr>
            <a:graphic>
              <a:graphicData uri="http://schemas.openxmlformats.org/drawingml/2006/picture">
                <pic:pic>
                  <pic:nvPicPr>
                    <pic:cNvPr id="0" name="02-list-table.png"/>
                    <pic:cNvPicPr/>
                  </pic:nvPicPr>
                  <pic:blipFill>
                    <a:blip r:embed="rId10"/>
                    <a:stretch>
                      <a:fillRect/>
                    </a:stretch>
                  </pic:blipFill>
                  <pic:spPr>
                    <a:xfrm>
                      <a:off x="0" y="0"/>
                      <a:ext cx="5400000" cy="3428033"/>
                    </a:xfrm>
                    <a:prstGeom prst="rect"/>
                  </pic:spPr>
                </pic:pic>
              </a:graphicData>
            </a:graphic>
          </wp:inline>
        </w:drawing>
      </w:r>
    </w:p>
    <w:p>
      <w:pPr>
        <w:spacing w:before="40" w:after="200"/>
        <w:jc w:val="center"/>
      </w:pPr>
      <w:r>
        <w:rPr>
          <w:rFonts w:ascii="Calibri" w:hAnsi="Calibri" w:eastAsia="宋体"/>
          <w:b w:val="0"/>
          <w:sz w:val="18"/>
        </w:rPr>
        <w:t>图 5-2　公司查询页（表格视图）：关键字与行业筛选、分页</w:t>
      </w:r>
    </w:p>
    <w:p>
      <w:pPr>
        <w:spacing w:before="120" w:after="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03-list-card.png"/>
                    <pic:cNvPicPr/>
                  </pic:nvPicPr>
                  <pic:blipFill>
                    <a:blip r:embed="rId11"/>
                    <a:stretch>
                      <a:fillRect/>
                    </a:stretch>
                  </pic:blipFill>
                  <pic:spPr>
                    <a:xfrm>
                      <a:off x="0" y="0"/>
                      <a:ext cx="5400000" cy="3375000"/>
                    </a:xfrm>
                    <a:prstGeom prst="rect"/>
                  </pic:spPr>
                </pic:pic>
              </a:graphicData>
            </a:graphic>
          </wp:inline>
        </w:drawing>
      </w:r>
    </w:p>
    <w:p>
      <w:pPr>
        <w:spacing w:before="40" w:after="200"/>
        <w:jc w:val="center"/>
      </w:pPr>
      <w:r>
        <w:rPr>
          <w:rFonts w:ascii="Calibri" w:hAnsi="Calibri" w:eastAsia="宋体"/>
          <w:b w:val="0"/>
          <w:sz w:val="18"/>
        </w:rPr>
        <w:t>图 5-3　公司查询页（卡片视图）：同一数据源的另一种浏览方式</w:t>
      </w:r>
    </w:p>
    <w:p>
      <w:pPr>
        <w:spacing w:before="160" w:after="120"/>
      </w:pPr>
      <w:r>
        <w:rPr>
          <w:rFonts w:ascii="黑体" w:hAnsi="黑体" w:eastAsia="黑体"/>
          <w:b/>
          <w:sz w:val="24"/>
        </w:rPr>
        <w:t>5.3 财务画像与行业对标</w:t>
      </w:r>
    </w:p>
    <w:p>
      <w:pPr>
        <w:spacing w:after="80" w:line="360" w:lineRule="auto"/>
        <w:ind w:firstLine="420"/>
      </w:pPr>
      <w:r>
        <w:rPr>
          <w:rFonts w:ascii="Calibri" w:hAnsi="Calibri" w:eastAsia="宋体"/>
          <w:b w:val="0"/>
          <w:sz w:val="21"/>
        </w:rPr>
        <w:t>财务画像页是系统的核心分析页面。页面上方展示公司名称、股票代码、所属行业与上市信息，并以环形进度条给出综合评分（六维指标方向调整评分的均值）及优势、短板提示。下方依次为：关键指标卡、六维能力雷达图（本公司得分对比行业中位基准）、核心指标多年度趋势图（可自由勾选指标）、行业对标评分图、指标速览卡片与行业对标明细表、以及财报原始科目表。对标明细表支持点击表头排序，并给出原始百分位与方向调整评分。页面提供导出对标明细 CSV、导出趋势 CSV 与打印/存 PDF 的入口。</w:t>
      </w:r>
    </w:p>
    <w:p>
      <w:pPr>
        <w:spacing w:before="120" w:after="0"/>
        <w:jc w:val="center"/>
      </w:pPr>
      <w:r>
        <w:drawing>
          <wp:inline xmlns:a="http://schemas.openxmlformats.org/drawingml/2006/main" xmlns:pic="http://schemas.openxmlformats.org/drawingml/2006/picture">
            <wp:extent cx="5400000" cy="3428033"/>
            <wp:docPr id="4" name="Picture 4"/>
            <wp:cNvGraphicFramePr>
              <a:graphicFrameLocks noChangeAspect="1"/>
            </wp:cNvGraphicFramePr>
            <a:graphic>
              <a:graphicData uri="http://schemas.openxmlformats.org/drawingml/2006/picture">
                <pic:pic>
                  <pic:nvPicPr>
                    <pic:cNvPr id="0" name="04-profile.png"/>
                    <pic:cNvPicPr/>
                  </pic:nvPicPr>
                  <pic:blipFill>
                    <a:blip r:embed="rId12"/>
                    <a:stretch>
                      <a:fillRect/>
                    </a:stretch>
                  </pic:blipFill>
                  <pic:spPr>
                    <a:xfrm>
                      <a:off x="0" y="0"/>
                      <a:ext cx="5400000" cy="3428033"/>
                    </a:xfrm>
                    <a:prstGeom prst="rect"/>
                  </pic:spPr>
                </pic:pic>
              </a:graphicData>
            </a:graphic>
          </wp:inline>
        </w:drawing>
      </w:r>
    </w:p>
    <w:p>
      <w:pPr>
        <w:spacing w:before="40" w:after="200"/>
        <w:jc w:val="center"/>
      </w:pPr>
      <w:r>
        <w:rPr>
          <w:rFonts w:ascii="Calibri" w:hAnsi="Calibri" w:eastAsia="宋体"/>
          <w:b w:val="0"/>
          <w:sz w:val="18"/>
        </w:rPr>
        <w:t>图 5-4　财务画像页：公司总览、综合评分环与关键指标卡</w:t>
      </w:r>
    </w:p>
    <w:p>
      <w:pPr>
        <w:spacing w:before="120" w:after="0"/>
        <w:jc w:val="center"/>
      </w:pPr>
      <w:r>
        <w:drawing>
          <wp:inline xmlns:a="http://schemas.openxmlformats.org/drawingml/2006/main" xmlns:pic="http://schemas.openxmlformats.org/drawingml/2006/picture">
            <wp:extent cx="5400000" cy="3811321"/>
            <wp:docPr id="5" name="Picture 5"/>
            <wp:cNvGraphicFramePr>
              <a:graphicFrameLocks noChangeAspect="1"/>
            </wp:cNvGraphicFramePr>
            <a:graphic>
              <a:graphicData uri="http://schemas.openxmlformats.org/drawingml/2006/picture">
                <pic:pic>
                  <pic:nvPicPr>
                    <pic:cNvPr id="0" name="11-wide-1440.png"/>
                    <pic:cNvPicPr/>
                  </pic:nvPicPr>
                  <pic:blipFill>
                    <a:blip r:embed="rId13"/>
                    <a:stretch>
                      <a:fillRect/>
                    </a:stretch>
                  </pic:blipFill>
                  <pic:spPr>
                    <a:xfrm>
                      <a:off x="0" y="0"/>
                      <a:ext cx="5400000" cy="3811321"/>
                    </a:xfrm>
                    <a:prstGeom prst="rect"/>
                  </pic:spPr>
                </pic:pic>
              </a:graphicData>
            </a:graphic>
          </wp:inline>
        </w:drawing>
      </w:r>
    </w:p>
    <w:p>
      <w:pPr>
        <w:spacing w:before="40" w:after="200"/>
        <w:jc w:val="center"/>
      </w:pPr>
      <w:r>
        <w:rPr>
          <w:rFonts w:ascii="Calibri" w:hAnsi="Calibri" w:eastAsia="宋体"/>
          <w:b w:val="0"/>
          <w:sz w:val="18"/>
        </w:rPr>
        <w:t>图 5-5　系统在 1440px 窄屏下的自适应效果</w:t>
      </w:r>
    </w:p>
    <w:p>
      <w:pPr>
        <w:spacing w:before="160" w:after="120"/>
      </w:pPr>
      <w:r>
        <w:rPr>
          <w:rFonts w:ascii="黑体" w:hAnsi="黑体" w:eastAsia="黑体"/>
          <w:b/>
          <w:sz w:val="24"/>
        </w:rPr>
        <w:t>5.4 行业排行</w:t>
      </w:r>
    </w:p>
    <w:p>
      <w:pPr>
        <w:spacing w:after="80" w:line="360" w:lineRule="auto"/>
        <w:ind w:firstLine="420"/>
      </w:pPr>
      <w:r>
        <w:rPr>
          <w:rFonts w:ascii="Calibri" w:hAnsi="Calibri" w:eastAsia="宋体"/>
          <w:b w:val="0"/>
          <w:sz w:val="21"/>
        </w:rPr>
        <w:t>行业排行页用于在同一行业、同一财年内按指定指标横向对比公司表现。用户选择行业与指标后，页面以 Top3 领奖台突出前三名，给出样本数、最高、P75、中位数、P25、最低等分布统计，并以横向条形图展示全部公司的指标分布（前三名以金、银、铜色区分）。底部排行明细表展示名次、代码、简称、指标值、原始百分位与相对水平条。</w:t>
      </w:r>
    </w:p>
    <w:p>
      <w:pPr>
        <w:spacing w:before="120" w:after="0"/>
        <w:jc w:val="center"/>
      </w:pPr>
      <w:r>
        <w:drawing>
          <wp:inline xmlns:a="http://schemas.openxmlformats.org/drawingml/2006/main" xmlns:pic="http://schemas.openxmlformats.org/drawingml/2006/picture">
            <wp:extent cx="5400000" cy="3428033"/>
            <wp:docPr id="6" name="Picture 6"/>
            <wp:cNvGraphicFramePr>
              <a:graphicFrameLocks noChangeAspect="1"/>
            </wp:cNvGraphicFramePr>
            <a:graphic>
              <a:graphicData uri="http://schemas.openxmlformats.org/drawingml/2006/picture">
                <pic:pic>
                  <pic:nvPicPr>
                    <pic:cNvPr id="0" name="09-ranking.png"/>
                    <pic:cNvPicPr/>
                  </pic:nvPicPr>
                  <pic:blipFill>
                    <a:blip r:embed="rId14"/>
                    <a:stretch>
                      <a:fillRect/>
                    </a:stretch>
                  </pic:blipFill>
                  <pic:spPr>
                    <a:xfrm>
                      <a:off x="0" y="0"/>
                      <a:ext cx="5400000" cy="3428033"/>
                    </a:xfrm>
                    <a:prstGeom prst="rect"/>
                  </pic:spPr>
                </pic:pic>
              </a:graphicData>
            </a:graphic>
          </wp:inline>
        </w:drawing>
      </w:r>
    </w:p>
    <w:p>
      <w:pPr>
        <w:spacing w:before="40" w:after="200"/>
        <w:jc w:val="center"/>
      </w:pPr>
      <w:r>
        <w:rPr>
          <w:rFonts w:ascii="Calibri" w:hAnsi="Calibri" w:eastAsia="宋体"/>
          <w:b w:val="0"/>
          <w:sz w:val="18"/>
        </w:rPr>
        <w:t>图 5-6　行业排行页：Top3 领奖台、分布统计与排行明细</w:t>
      </w:r>
    </w:p>
    <w:p>
      <w:pPr>
        <w:spacing w:before="160" w:after="120"/>
      </w:pPr>
      <w:r>
        <w:rPr>
          <w:rFonts w:ascii="黑体" w:hAnsi="黑体" w:eastAsia="黑体"/>
          <w:b/>
          <w:sz w:val="24"/>
        </w:rPr>
        <w:t>5.5 智能筛选</w:t>
      </w:r>
    </w:p>
    <w:p>
      <w:pPr>
        <w:spacing w:after="80" w:line="360" w:lineRule="auto"/>
        <w:ind w:firstLine="420"/>
      </w:pPr>
      <w:r>
        <w:rPr>
          <w:rFonts w:ascii="Calibri" w:hAnsi="Calibri" w:eastAsia="宋体"/>
          <w:b w:val="0"/>
          <w:sz w:val="21"/>
        </w:rPr>
        <w:t>智能筛选页支持多条件交叉筛选（AND 逻辑）。用户可添加最多 6 个条件，每个条件由“指标 + 运算符 + 阈值”构成，运算符包括 ≥、&gt;、≤、&lt;、介于区间，以及“高于/低于行业百分位”这类相对口径。页面提供白酒、医药、全市场等预设方案一键载入。筛选结果以表格展示命中公司及其逐条件判定明细，达标条件以绿色标记，并可一键导出 CSV。</w:t>
      </w:r>
    </w:p>
    <w:p>
      <w:pPr>
        <w:spacing w:before="120" w:after="0"/>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10-screening.png"/>
                    <pic:cNvPicPr/>
                  </pic:nvPicPr>
                  <pic:blipFill>
                    <a:blip r:embed="rId15"/>
                    <a:stretch>
                      <a:fillRect/>
                    </a:stretch>
                  </pic:blipFill>
                  <pic:spPr>
                    <a:xfrm>
                      <a:off x="0" y="0"/>
                      <a:ext cx="5400000" cy="3375000"/>
                    </a:xfrm>
                    <a:prstGeom prst="rect"/>
                  </pic:spPr>
                </pic:pic>
              </a:graphicData>
            </a:graphic>
          </wp:inline>
        </w:drawing>
      </w:r>
    </w:p>
    <w:p>
      <w:pPr>
        <w:spacing w:before="40" w:after="200"/>
        <w:jc w:val="center"/>
      </w:pPr>
      <w:r>
        <w:rPr>
          <w:rFonts w:ascii="Calibri" w:hAnsi="Calibri" w:eastAsia="宋体"/>
          <w:b w:val="0"/>
          <w:sz w:val="18"/>
        </w:rPr>
        <w:t>图 5-7　智能筛选页：多条件 AND 编辑器与预设方案</w:t>
      </w:r>
    </w:p>
    <w:p>
      <w:pPr>
        <w:spacing w:before="160" w:after="120"/>
      </w:pPr>
      <w:r>
        <w:rPr>
          <w:rFonts w:ascii="黑体" w:hAnsi="黑体" w:eastAsia="黑体"/>
          <w:b/>
          <w:sz w:val="24"/>
        </w:rPr>
        <w:t>5.6 AI 解读</w:t>
      </w:r>
    </w:p>
    <w:p>
      <w:pPr>
        <w:spacing w:after="80" w:line="360" w:lineRule="auto"/>
        <w:ind w:firstLine="420"/>
      </w:pPr>
      <w:r>
        <w:rPr>
          <w:rFonts w:ascii="Calibri" w:hAnsi="Calibri" w:eastAsia="宋体"/>
          <w:b w:val="0"/>
          <w:sz w:val="21"/>
        </w:rPr>
        <w:t>AI 解读页将系统计算结果注入大模型，生成结构化的财报解读简报。点击“生成解读简报”后，页面以分步提示展示“读取指标与对标数据 → 组装三层 Prompt → 调用模型 → 数值溯源校验”的全过程。报告生成后，页面上方给出数值可溯源率、可溯源数字个数与待人工核对数字个数；报告正文中的数字会按能否在系统计算数据中溯源分别以绿色与黄色高亮，并可一键开关。页面右侧展示启用的三层 Prompt 模板、历史报告记录与溯源校验说明；底部为追问对话区，支持携带上下文的多轮问答。</w:t>
      </w:r>
    </w:p>
    <w:p>
      <w:pPr>
        <w:spacing w:before="120" w:after="0"/>
        <w:jc w:val="center"/>
      </w:pPr>
      <w:r>
        <w:drawing>
          <wp:inline xmlns:a="http://schemas.openxmlformats.org/drawingml/2006/main" xmlns:pic="http://schemas.openxmlformats.org/drawingml/2006/picture">
            <wp:extent cx="5400000" cy="3428033"/>
            <wp:docPr id="8" name="Picture 8"/>
            <wp:cNvGraphicFramePr>
              <a:graphicFrameLocks noChangeAspect="1"/>
            </wp:cNvGraphicFramePr>
            <a:graphic>
              <a:graphicData uri="http://schemas.openxmlformats.org/drawingml/2006/picture">
                <pic:pic>
                  <pic:nvPicPr>
                    <pic:cNvPr id="0" name="07-ai-report.png"/>
                    <pic:cNvPicPr/>
                  </pic:nvPicPr>
                  <pic:blipFill>
                    <a:blip r:embed="rId16"/>
                    <a:stretch>
                      <a:fillRect/>
                    </a:stretch>
                  </pic:blipFill>
                  <pic:spPr>
                    <a:xfrm>
                      <a:off x="0" y="0"/>
                      <a:ext cx="5400000" cy="3428033"/>
                    </a:xfrm>
                    <a:prstGeom prst="rect"/>
                  </pic:spPr>
                </pic:pic>
              </a:graphicData>
            </a:graphic>
          </wp:inline>
        </w:drawing>
      </w:r>
    </w:p>
    <w:p>
      <w:pPr>
        <w:spacing w:before="40" w:after="200"/>
        <w:jc w:val="center"/>
      </w:pPr>
      <w:r>
        <w:rPr>
          <w:rFonts w:ascii="Calibri" w:hAnsi="Calibri" w:eastAsia="宋体"/>
          <w:b w:val="0"/>
          <w:sz w:val="18"/>
        </w:rPr>
        <w:t>图 5-8　AI 解读页：三层 Prompt 生成简报与数值溯源校验</w:t>
      </w:r>
    </w:p>
    <w:p>
      <w:pPr>
        <w:spacing w:before="120" w:after="0"/>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14-history-drawer.png"/>
                    <pic:cNvPicPr/>
                  </pic:nvPicPr>
                  <pic:blipFill>
                    <a:blip r:embed="rId17"/>
                    <a:stretch>
                      <a:fillRect/>
                    </a:stretch>
                  </pic:blipFill>
                  <pic:spPr>
                    <a:xfrm>
                      <a:off x="0" y="0"/>
                      <a:ext cx="5400000" cy="3375000"/>
                    </a:xfrm>
                    <a:prstGeom prst="rect"/>
                  </pic:spPr>
                </pic:pic>
              </a:graphicData>
            </a:graphic>
          </wp:inline>
        </w:drawing>
      </w:r>
    </w:p>
    <w:p>
      <w:pPr>
        <w:spacing w:before="40" w:after="200"/>
        <w:jc w:val="center"/>
      </w:pPr>
      <w:r>
        <w:rPr>
          <w:rFonts w:ascii="Calibri" w:hAnsi="Calibri" w:eastAsia="宋体"/>
          <w:b w:val="0"/>
          <w:sz w:val="18"/>
        </w:rPr>
        <w:t>图 5-11　历史记录侧滑抽屉：查看简报全文与溯源校验结果</w:t>
      </w:r>
    </w:p>
    <w:p>
      <w:pPr>
        <w:spacing w:before="120" w:after="0"/>
        <w:jc w:val="center"/>
      </w:pPr>
      <w:r>
        <w:drawing>
          <wp:inline xmlns:a="http://schemas.openxmlformats.org/drawingml/2006/main" xmlns:pic="http://schemas.openxmlformats.org/drawingml/2006/picture">
            <wp:extent cx="5400000" cy="3428033"/>
            <wp:docPr id="10" name="Picture 10"/>
            <wp:cNvGraphicFramePr>
              <a:graphicFrameLocks noChangeAspect="1"/>
            </wp:cNvGraphicFramePr>
            <a:graphic>
              <a:graphicData uri="http://schemas.openxmlformats.org/drawingml/2006/picture">
                <pic:pic>
                  <pic:nvPicPr>
                    <pic:cNvPr id="0" name="08-ai-chat.png"/>
                    <pic:cNvPicPr/>
                  </pic:nvPicPr>
                  <pic:blipFill>
                    <a:blip r:embed="rId18"/>
                    <a:stretch>
                      <a:fillRect/>
                    </a:stretch>
                  </pic:blipFill>
                  <pic:spPr>
                    <a:xfrm>
                      <a:off x="0" y="0"/>
                      <a:ext cx="5400000" cy="3428033"/>
                    </a:xfrm>
                    <a:prstGeom prst="rect"/>
                  </pic:spPr>
                </pic:pic>
              </a:graphicData>
            </a:graphic>
          </wp:inline>
        </w:drawing>
      </w:r>
    </w:p>
    <w:p>
      <w:pPr>
        <w:spacing w:before="40" w:after="200"/>
        <w:jc w:val="center"/>
      </w:pPr>
      <w:r>
        <w:rPr>
          <w:rFonts w:ascii="Calibri" w:hAnsi="Calibri" w:eastAsia="宋体"/>
          <w:b w:val="0"/>
          <w:sz w:val="18"/>
        </w:rPr>
        <w:t>图 5-12　追问对话：携带上下文的多轮问答与可溯源率</w:t>
      </w:r>
    </w:p>
    <w:p>
      <w:pPr>
        <w:spacing w:before="160" w:after="120"/>
      </w:pPr>
      <w:r>
        <w:rPr>
          <w:rFonts w:ascii="黑体" w:hAnsi="黑体" w:eastAsia="黑体"/>
          <w:b/>
          <w:sz w:val="24"/>
        </w:rPr>
        <w:t>5.7 指标释义与数据导出</w:t>
      </w:r>
    </w:p>
    <w:p>
      <w:pPr>
        <w:spacing w:after="80" w:line="360" w:lineRule="auto"/>
        <w:ind w:firstLine="420"/>
      </w:pPr>
      <w:r>
        <w:rPr>
          <w:rFonts w:ascii="Calibri" w:hAnsi="Calibri" w:eastAsia="宋体"/>
          <w:b w:val="0"/>
          <w:sz w:val="21"/>
        </w:rPr>
        <w:t>为便于理解指标含义，系统中所有指标名称旁均提供释义入口，点击后弹出气泡说明该指标的所属维度、计量单位、优化方向与计算公式。系统同时提供统一的数据导出能力：对标明细、核心指标趋势、行业排行与筛选结果均可导出为 CSV 文件（采用带 BOM 的 UTF-8 编码，用 Excel 打开中文不乱码）；财务画像与 AI 报告页面支持浏览器打印或另存为 PDF。</w:t>
      </w:r>
    </w:p>
    <w:p>
      <w:pPr>
        <w:spacing w:before="120" w:after="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12-indicator-tip-profile.png"/>
                    <pic:cNvPicPr/>
                  </pic:nvPicPr>
                  <pic:blipFill>
                    <a:blip r:embed="rId19"/>
                    <a:stretch>
                      <a:fillRect/>
                    </a:stretch>
                  </pic:blipFill>
                  <pic:spPr>
                    <a:xfrm>
                      <a:off x="0" y="0"/>
                      <a:ext cx="5400000" cy="3375000"/>
                    </a:xfrm>
                    <a:prstGeom prst="rect"/>
                  </pic:spPr>
                </pic:pic>
              </a:graphicData>
            </a:graphic>
          </wp:inline>
        </w:drawing>
      </w:r>
    </w:p>
    <w:p>
      <w:pPr>
        <w:spacing w:before="40" w:after="200"/>
        <w:jc w:val="center"/>
      </w:pPr>
      <w:r>
        <w:rPr>
          <w:rFonts w:ascii="Calibri" w:hAnsi="Calibri" w:eastAsia="宋体"/>
          <w:b w:val="0"/>
          <w:sz w:val="18"/>
        </w:rPr>
        <w:t>图 5-9　指标释义气泡：展示指标维度、单位、方向与计算公式</w:t>
      </w:r>
    </w:p>
    <w:p>
      <w:pPr>
        <w:spacing w:before="120" w:after="0"/>
        <w:jc w:val="center"/>
      </w:pPr>
      <w:r>
        <w:drawing>
          <wp:inline xmlns:a="http://schemas.openxmlformats.org/drawingml/2006/main" xmlns:pic="http://schemas.openxmlformats.org/drawingml/2006/picture">
            <wp:extent cx="5400000" cy="3428033"/>
            <wp:docPr id="12" name="Picture 12"/>
            <wp:cNvGraphicFramePr>
              <a:graphicFrameLocks noChangeAspect="1"/>
            </wp:cNvGraphicFramePr>
            <a:graphic>
              <a:graphicData uri="http://schemas.openxmlformats.org/drawingml/2006/picture">
                <pic:pic>
                  <pic:nvPicPr>
                    <pic:cNvPr id="0" name="13-indicator-tip-ranking.png"/>
                    <pic:cNvPicPr/>
                  </pic:nvPicPr>
                  <pic:blipFill>
                    <a:blip r:embed="rId20"/>
                    <a:stretch>
                      <a:fillRect/>
                    </a:stretch>
                  </pic:blipFill>
                  <pic:spPr>
                    <a:xfrm>
                      <a:off x="0" y="0"/>
                      <a:ext cx="5400000" cy="3428033"/>
                    </a:xfrm>
                    <a:prstGeom prst="rect"/>
                  </pic:spPr>
                </pic:pic>
              </a:graphicData>
            </a:graphic>
          </wp:inline>
        </w:drawing>
      </w:r>
    </w:p>
    <w:p>
      <w:pPr>
        <w:spacing w:before="40" w:after="200"/>
        <w:jc w:val="center"/>
      </w:pPr>
      <w:r>
        <w:rPr>
          <w:rFonts w:ascii="Calibri" w:hAnsi="Calibri" w:eastAsia="宋体"/>
          <w:b w:val="0"/>
          <w:sz w:val="18"/>
        </w:rPr>
        <w:t>图 5-10　排行页的指标释义与口径提示</w:t>
      </w:r>
    </w:p>
    <w:p>
      <w:r>
        <w:br w:type="page"/>
      </w:r>
    </w:p>
    <w:p>
      <w:pPr>
        <w:spacing w:before="240" w:after="120"/>
      </w:pPr>
      <w:r>
        <w:rPr>
          <w:rFonts w:ascii="黑体" w:hAnsi="黑体" w:eastAsia="黑体"/>
          <w:b/>
          <w:sz w:val="28"/>
        </w:rPr>
        <w:t>第六章　典型操作流程示例</w:t>
      </w:r>
    </w:p>
    <w:p>
      <w:pPr>
        <w:spacing w:after="80" w:line="360" w:lineRule="auto"/>
        <w:ind w:firstLine="420"/>
      </w:pPr>
      <w:r>
        <w:rPr>
          <w:rFonts w:ascii="Calibri" w:hAnsi="Calibri" w:eastAsia="宋体"/>
          <w:b w:val="0"/>
          <w:sz w:val="21"/>
        </w:rPr>
        <w:t>下面以“筛选白酒行业中高盈利、低负债的公司并生成 AI 解读”为例，说明软件的典型使用流程。</w:t>
      </w:r>
    </w:p>
    <w:p>
      <w:pPr>
        <w:spacing w:before="160" w:after="120"/>
      </w:pPr>
      <w:r>
        <w:rPr>
          <w:rFonts w:ascii="黑体" w:hAnsi="黑体" w:eastAsia="黑体"/>
          <w:b/>
          <w:sz w:val="24"/>
        </w:rPr>
        <w:t>第一步：检索公司</w:t>
      </w:r>
    </w:p>
    <w:p>
      <w:pPr>
        <w:spacing w:after="80" w:line="360" w:lineRule="auto"/>
        <w:ind w:firstLine="420"/>
      </w:pPr>
      <w:r>
        <w:rPr>
          <w:rFonts w:ascii="Calibri" w:hAnsi="Calibri" w:eastAsia="宋体"/>
          <w:b w:val="0"/>
          <w:sz w:val="21"/>
        </w:rPr>
        <w:t>在“公司查询”页输入“600519”或“贵州茅台”，点击查询，结果列表中出现目标公司。</w:t>
      </w:r>
    </w:p>
    <w:p>
      <w:pPr>
        <w:spacing w:before="160" w:after="120"/>
      </w:pPr>
      <w:r>
        <w:rPr>
          <w:rFonts w:ascii="黑体" w:hAnsi="黑体" w:eastAsia="黑体"/>
          <w:b/>
          <w:sz w:val="24"/>
        </w:rPr>
        <w:t>第二步：进入财务画像</w:t>
      </w:r>
    </w:p>
    <w:p>
      <w:pPr>
        <w:spacing w:after="80" w:line="360" w:lineRule="auto"/>
        <w:ind w:firstLine="420"/>
      </w:pPr>
      <w:r>
        <w:rPr>
          <w:rFonts w:ascii="Calibri" w:hAnsi="Calibri" w:eastAsia="宋体"/>
          <w:b w:val="0"/>
          <w:sz w:val="21"/>
        </w:rPr>
        <w:t>点击该公司所在行，系统自动跳转至“财务画像”页，并载入该公司当前财年的指标与行业对标数据。此时可查看综合评分、六维能力雷达与关键指标卡，点击表格表头可按列排序。</w:t>
      </w:r>
    </w:p>
    <w:p>
      <w:pPr>
        <w:spacing w:before="160" w:after="120"/>
      </w:pPr>
      <w:r>
        <w:rPr>
          <w:rFonts w:ascii="黑体" w:hAnsi="黑体" w:eastAsia="黑体"/>
          <w:b/>
          <w:sz w:val="24"/>
        </w:rPr>
        <w:t>第三步：查看指标口径</w:t>
      </w:r>
    </w:p>
    <w:p>
      <w:pPr>
        <w:spacing w:after="80" w:line="360" w:lineRule="auto"/>
        <w:ind w:firstLine="420"/>
      </w:pPr>
      <w:r>
        <w:rPr>
          <w:rFonts w:ascii="Calibri" w:hAnsi="Calibri" w:eastAsia="宋体"/>
          <w:b w:val="0"/>
          <w:sz w:val="21"/>
        </w:rPr>
        <w:t>将鼠标移入任意指标名称旁的“?”图标，弹出释义气泡，确认该指标的维度、单位、方向与计算公式。</w:t>
      </w:r>
    </w:p>
    <w:p>
      <w:pPr>
        <w:spacing w:before="160" w:after="120"/>
      </w:pPr>
      <w:r>
        <w:rPr>
          <w:rFonts w:ascii="黑体" w:hAnsi="黑体" w:eastAsia="黑体"/>
          <w:b/>
          <w:sz w:val="24"/>
        </w:rPr>
        <w:t>第四步：生成 AI 解读</w:t>
      </w:r>
    </w:p>
    <w:p>
      <w:pPr>
        <w:spacing w:after="80" w:line="360" w:lineRule="auto"/>
        <w:ind w:firstLine="420"/>
      </w:pPr>
      <w:r>
        <w:rPr>
          <w:rFonts w:ascii="Calibri" w:hAnsi="Calibri" w:eastAsia="宋体"/>
          <w:b w:val="0"/>
          <w:sz w:val="21"/>
        </w:rPr>
        <w:t>切换至“AI 解读”页，确认右上角财年，点击“生成解读简报”。生成完成后查看数值可溯源率，正文中绿色数字表示可在系统数据中溯源，黄色数字建议人工核对。</w:t>
      </w:r>
    </w:p>
    <w:p>
      <w:pPr>
        <w:spacing w:before="160" w:after="120"/>
      </w:pPr>
      <w:r>
        <w:rPr>
          <w:rFonts w:ascii="黑体" w:hAnsi="黑体" w:eastAsia="黑体"/>
          <w:b/>
          <w:sz w:val="24"/>
        </w:rPr>
        <w:t>第五步：追问对话</w:t>
      </w:r>
    </w:p>
    <w:p>
      <w:pPr>
        <w:spacing w:after="80" w:line="360" w:lineRule="auto"/>
        <w:ind w:firstLine="420"/>
      </w:pPr>
      <w:r>
        <w:rPr>
          <w:rFonts w:ascii="Calibri" w:hAnsi="Calibri" w:eastAsia="宋体"/>
          <w:b w:val="0"/>
          <w:sz w:val="21"/>
        </w:rPr>
        <w:t>在页面底部的追问区输入问题，例如“ROE 和毛利率在行业里处于什么水平？”，系统会携带此前上下文作答，同样受“禁止编造数字”的约束。</w:t>
      </w:r>
    </w:p>
    <w:p>
      <w:pPr>
        <w:spacing w:before="160" w:after="120"/>
      </w:pPr>
      <w:r>
        <w:rPr>
          <w:rFonts w:ascii="黑体" w:hAnsi="黑体" w:eastAsia="黑体"/>
          <w:b/>
          <w:sz w:val="24"/>
        </w:rPr>
        <w:t>第六步：行业横向对比</w:t>
      </w:r>
    </w:p>
    <w:p>
      <w:pPr>
        <w:spacing w:after="80" w:line="360" w:lineRule="auto"/>
        <w:ind w:firstLine="420"/>
      </w:pPr>
      <w:r>
        <w:rPr>
          <w:rFonts w:ascii="Calibri" w:hAnsi="Calibri" w:eastAsia="宋体"/>
          <w:b w:val="0"/>
          <w:sz w:val="21"/>
        </w:rPr>
        <w:t>切换至“行业排行”页，选择“酒、饮料和精制茶制造业”与“净资产收益率(ROE)”，查看该公司的行业名次与全部样本的分布。</w:t>
      </w:r>
    </w:p>
    <w:p>
      <w:pPr>
        <w:spacing w:before="160" w:after="120"/>
      </w:pPr>
      <w:r>
        <w:rPr>
          <w:rFonts w:ascii="黑体" w:hAnsi="黑体" w:eastAsia="黑体"/>
          <w:b/>
          <w:sz w:val="24"/>
        </w:rPr>
        <w:t>第七步：条件化选股</w:t>
      </w:r>
    </w:p>
    <w:p>
      <w:pPr>
        <w:spacing w:after="80" w:line="360" w:lineRule="auto"/>
        <w:ind w:firstLine="420"/>
      </w:pPr>
      <w:r>
        <w:rPr>
          <w:rFonts w:ascii="Calibri" w:hAnsi="Calibri" w:eastAsia="宋体"/>
          <w:b w:val="0"/>
          <w:sz w:val="21"/>
        </w:rPr>
        <w:t>切换至“智能筛选”页，点击预设方案“白酒 · 高 ROE 低负债”，系统列出同时满足 ROE ≥ 20% 且资产负债率 ≤ 40% 的公司及逐条件判定明细。</w:t>
      </w:r>
    </w:p>
    <w:p>
      <w:pPr>
        <w:spacing w:before="160" w:after="120"/>
      </w:pPr>
      <w:r>
        <w:rPr>
          <w:rFonts w:ascii="黑体" w:hAnsi="黑体" w:eastAsia="黑体"/>
          <w:b/>
          <w:sz w:val="24"/>
        </w:rPr>
        <w:t>第八步：导出结果</w:t>
      </w:r>
    </w:p>
    <w:p>
      <w:pPr>
        <w:spacing w:after="80" w:line="360" w:lineRule="auto"/>
        <w:ind w:firstLine="420"/>
      </w:pPr>
      <w:r>
        <w:rPr>
          <w:rFonts w:ascii="Calibri" w:hAnsi="Calibri" w:eastAsia="宋体"/>
          <w:b w:val="0"/>
          <w:sz w:val="21"/>
        </w:rPr>
        <w:t>在任一带导出按钮的页面点击“导出 CSV”，将当前结果保存为表格文件，或使用“打印/存 PDF”将财务画像与 AI 报告存档。</w:t>
      </w:r>
    </w:p>
    <w:p>
      <w:r>
        <w:br w:type="page"/>
      </w:r>
    </w:p>
    <w:p>
      <w:pPr>
        <w:spacing w:before="240" w:after="120"/>
      </w:pPr>
      <w:r>
        <w:rPr>
          <w:rFonts w:ascii="黑体" w:hAnsi="黑体" w:eastAsia="黑体"/>
          <w:b/>
          <w:sz w:val="28"/>
        </w:rPr>
        <w:t>第七章　注意事项与常见问题</w:t>
      </w:r>
    </w:p>
    <w:p>
      <w:pPr>
        <w:spacing w:before="160" w:after="120"/>
      </w:pPr>
      <w:r>
        <w:rPr>
          <w:rFonts w:ascii="黑体" w:hAnsi="黑体" w:eastAsia="黑体"/>
          <w:b/>
          <w:sz w:val="24"/>
        </w:rPr>
        <w:t>7.1 使用注意事项</w:t>
      </w:r>
    </w:p>
    <w:p>
      <w:pPr>
        <w:pStyle w:val="ListBullet"/>
        <w:spacing w:after="40" w:line="336" w:lineRule="auto"/>
      </w:pPr>
      <w:r>
        <w:rPr>
          <w:rFonts w:ascii="Calibri" w:hAnsi="Calibri" w:eastAsia="宋体"/>
          <w:b w:val="0"/>
          <w:sz w:val="21"/>
        </w:rPr>
        <w:t>本软件仅用于学习与研究，所有输出不构成任何投资建议；</w:t>
      </w:r>
    </w:p>
    <w:p>
      <w:pPr>
        <w:pStyle w:val="ListBullet"/>
        <w:spacing w:after="40" w:line="336" w:lineRule="auto"/>
      </w:pPr>
      <w:r>
        <w:rPr>
          <w:rFonts w:ascii="Calibri" w:hAnsi="Calibri" w:eastAsia="宋体"/>
          <w:b w:val="0"/>
          <w:sz w:val="21"/>
        </w:rPr>
        <w:t>行业对标结论受样本量限制：每个行业仅 8 家公司，属小样本案例研究，不应外推为整个行业的普遍规律；</w:t>
      </w:r>
    </w:p>
    <w:p>
      <w:pPr>
        <w:pStyle w:val="ListBullet"/>
        <w:spacing w:after="40" w:line="336" w:lineRule="auto"/>
      </w:pPr>
      <w:r>
        <w:rPr>
          <w:rFonts w:ascii="Calibri" w:hAnsi="Calibri" w:eastAsia="宋体"/>
          <w:b w:val="0"/>
          <w:sz w:val="21"/>
        </w:rPr>
        <w:t>AI 生成的解读报告以系统注入数据为唯一数据来源，但仍建议对标注为“待核对”的数字进行人工复核；</w:t>
      </w:r>
    </w:p>
    <w:p>
      <w:pPr>
        <w:pStyle w:val="ListBullet"/>
        <w:spacing w:after="40" w:line="336" w:lineRule="auto"/>
      </w:pPr>
      <w:r>
        <w:rPr>
          <w:rFonts w:ascii="Calibri" w:hAnsi="Calibri" w:eastAsia="宋体"/>
          <w:b w:val="0"/>
          <w:sz w:val="21"/>
        </w:rPr>
        <w:t>财年切换为全局设置，切换后各页面展示的数据会同步变化，请注意当前财年。</w:t>
      </w:r>
    </w:p>
    <w:p>
      <w:pPr>
        <w:spacing w:before="160" w:after="120"/>
      </w:pPr>
      <w:r>
        <w:rPr>
          <w:rFonts w:ascii="黑体" w:hAnsi="黑体" w:eastAsia="黑体"/>
          <w:b/>
          <w:sz w:val="24"/>
        </w:rPr>
        <w:t>7.2 常见问题</w:t>
      </w:r>
    </w:p>
    <w:tbl>
      <w:tblPr>
        <w:tblStyle w:val="TableGrid"/>
        <w:tblW w:type="auto" w:w="0"/>
        <w:jc w:val="center"/>
        <w:tblLook w:firstColumn="1" w:firstRow="1" w:lastColumn="0" w:lastRow="0" w:noHBand="0" w:noVBand="1" w:val="04A0"/>
      </w:tblPr>
      <w:tblGrid>
        <w:gridCol w:w="4535"/>
        <w:gridCol w:w="4535"/>
      </w:tblGrid>
      <w:tr>
        <w:tc>
          <w:tcPr>
            <w:tcW w:type="dxa" w:w="3061"/>
          </w:tcPr>
          <w:p>
            <w:r/>
            <w:r>
              <w:rPr>
                <w:rFonts w:ascii="黑体" w:hAnsi="黑体" w:eastAsia="黑体"/>
                <w:b/>
                <w:sz w:val="19"/>
              </w:rPr>
              <w:t>现象</w:t>
            </w:r>
          </w:p>
        </w:tc>
        <w:tc>
          <w:tcPr>
            <w:tcW w:type="dxa" w:w="5896"/>
          </w:tcPr>
          <w:p>
            <w:r/>
            <w:r>
              <w:rPr>
                <w:rFonts w:ascii="黑体" w:hAnsi="黑体" w:eastAsia="黑体"/>
                <w:b/>
                <w:sz w:val="19"/>
              </w:rPr>
              <w:t>原因与处理</w:t>
            </w:r>
          </w:p>
        </w:tc>
      </w:tr>
      <w:tr>
        <w:tc>
          <w:tcPr>
            <w:tcW w:type="dxa" w:w="3061"/>
          </w:tcPr>
          <w:p>
            <w:r/>
            <w:r>
              <w:rPr>
                <w:rFonts w:ascii="Calibri" w:hAnsi="Calibri" w:eastAsia="宋体"/>
                <w:b w:val="0"/>
                <w:sz w:val="19"/>
              </w:rPr>
              <w:t>页面提示“无法连接后端服务”</w:t>
            </w:r>
          </w:p>
        </w:tc>
        <w:tc>
          <w:tcPr>
            <w:tcW w:type="dxa" w:w="5896"/>
          </w:tcPr>
          <w:p>
            <w:r/>
            <w:r>
              <w:rPr>
                <w:rFonts w:ascii="Calibri" w:hAnsi="Calibri" w:eastAsia="宋体"/>
                <w:b w:val="0"/>
                <w:sz w:val="19"/>
              </w:rPr>
              <w:t>后端未启动。双击项目根目录“启动后端.bat”，或手动执行 java -jar 启动，端口为 8091</w:t>
            </w:r>
          </w:p>
        </w:tc>
      </w:tr>
      <w:tr>
        <w:tc>
          <w:tcPr>
            <w:tcW w:type="dxa" w:w="3061"/>
          </w:tcPr>
          <w:p>
            <w:r/>
            <w:r>
              <w:rPr>
                <w:rFonts w:ascii="Calibri" w:hAnsi="Calibri" w:eastAsia="宋体"/>
                <w:b w:val="0"/>
                <w:sz w:val="19"/>
              </w:rPr>
              <w:t>图表空白、指标无数据</w:t>
            </w:r>
          </w:p>
        </w:tc>
        <w:tc>
          <w:tcPr>
            <w:tcW w:type="dxa" w:w="5896"/>
          </w:tcPr>
          <w:p>
            <w:r/>
            <w:r>
              <w:rPr>
                <w:rFonts w:ascii="Calibri" w:hAnsi="Calibri" w:eastAsia="宋体"/>
                <w:b w:val="0"/>
                <w:sz w:val="19"/>
              </w:rPr>
              <w:t>尚未执行指标重算。调用 POST /api/finance/recalc 生成指标与行业对标数据</w:t>
            </w:r>
          </w:p>
        </w:tc>
      </w:tr>
      <w:tr>
        <w:tc>
          <w:tcPr>
            <w:tcW w:type="dxa" w:w="3061"/>
          </w:tcPr>
          <w:p>
            <w:r/>
            <w:r>
              <w:rPr>
                <w:rFonts w:ascii="Calibri" w:hAnsi="Calibri" w:eastAsia="宋体"/>
                <w:b w:val="0"/>
                <w:sz w:val="19"/>
              </w:rPr>
              <w:t>AI 解读生成失败或超时</w:t>
            </w:r>
          </w:p>
        </w:tc>
        <w:tc>
          <w:tcPr>
            <w:tcW w:type="dxa" w:w="5896"/>
          </w:tcPr>
          <w:p>
            <w:r/>
            <w:r>
              <w:rPr>
                <w:rFonts w:ascii="Calibri" w:hAnsi="Calibri" w:eastAsia="宋体"/>
                <w:b w:val="0"/>
                <w:sz w:val="19"/>
              </w:rPr>
              <w:t>所配置的模型接口不可用、密钥失效或网络不通；系统会自动降级为 mock 确定性模式</w:t>
            </w:r>
          </w:p>
        </w:tc>
      </w:tr>
      <w:tr>
        <w:tc>
          <w:tcPr>
            <w:tcW w:type="dxa" w:w="3061"/>
          </w:tcPr>
          <w:p>
            <w:r/>
            <w:r>
              <w:rPr>
                <w:rFonts w:ascii="Calibri" w:hAnsi="Calibri" w:eastAsia="宋体"/>
                <w:b w:val="0"/>
                <w:sz w:val="19"/>
              </w:rPr>
              <w:t>导出的 CSV 中文乱码</w:t>
            </w:r>
          </w:p>
        </w:tc>
        <w:tc>
          <w:tcPr>
            <w:tcW w:type="dxa" w:w="5896"/>
          </w:tcPr>
          <w:p>
            <w:r/>
            <w:r>
              <w:rPr>
                <w:rFonts w:ascii="Calibri" w:hAnsi="Calibri" w:eastAsia="宋体"/>
                <w:b w:val="0"/>
                <w:sz w:val="19"/>
              </w:rPr>
              <w:t>请使用 Excel 的“数据—自文本”并按 UTF-8 导入；软件已写入 BOM，多数版本可直接打开</w:t>
            </w:r>
          </w:p>
        </w:tc>
      </w:tr>
      <w:tr>
        <w:tc>
          <w:tcPr>
            <w:tcW w:type="dxa" w:w="3061"/>
          </w:tcPr>
          <w:p>
            <w:r/>
            <w:r>
              <w:rPr>
                <w:rFonts w:ascii="Calibri" w:hAnsi="Calibri" w:eastAsia="宋体"/>
                <w:b w:val="0"/>
                <w:sz w:val="19"/>
              </w:rPr>
              <w:t>前端依赖安装缓慢</w:t>
            </w:r>
          </w:p>
        </w:tc>
        <w:tc>
          <w:tcPr>
            <w:tcW w:type="dxa" w:w="5896"/>
          </w:tcPr>
          <w:p>
            <w:r/>
            <w:r>
              <w:rPr>
                <w:rFonts w:ascii="Calibri" w:hAnsi="Calibri" w:eastAsia="宋体"/>
                <w:b w:val="0"/>
                <w:sz w:val="19"/>
              </w:rPr>
              <w:t>可配置国内 npm 镜像源后重新执行 npm install</w:t>
            </w:r>
          </w:p>
        </w:tc>
      </w:tr>
    </w:tbl>
    <w:p>
      <w:pPr>
        <w:spacing w:after="80" w:line="360" w:lineRule="auto"/>
        <w:ind w:firstLine="420"/>
      </w:pPr>
      <w:r>
        <w:rPr>
          <w:rFonts w:ascii="Calibri" w:hAnsi="Calibri" w:eastAsia="宋体"/>
          <w:b w:val="0"/>
          <w:sz w:val="21"/>
        </w:rPr>
        <w:t>如遇其他问题，可查阅项目文档中的《技术文档》《接口设计表》与《上手指南》。</w:t>
      </w:r>
    </w:p>
    <w:p>
      <w:r>
        <w:br w:type="page"/>
      </w:r>
    </w:p>
    <w:p>
      <w:pPr>
        <w:spacing w:before="240" w:after="120"/>
      </w:pPr>
      <w:r>
        <w:rPr>
          <w:rFonts w:ascii="黑体" w:hAnsi="黑体" w:eastAsia="黑体"/>
          <w:b/>
          <w:sz w:val="28"/>
        </w:rPr>
        <w:t>附录 A　财务指标体系（12 项）</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361"/>
          </w:tcPr>
          <w:p>
            <w:r/>
            <w:r>
              <w:rPr>
                <w:rFonts w:ascii="黑体" w:hAnsi="黑体" w:eastAsia="黑体"/>
                <w:b/>
                <w:sz w:val="19"/>
              </w:rPr>
              <w:t>维度</w:t>
            </w:r>
          </w:p>
        </w:tc>
        <w:tc>
          <w:tcPr>
            <w:tcW w:type="dxa" w:w="2041"/>
          </w:tcPr>
          <w:p>
            <w:r/>
            <w:r>
              <w:rPr>
                <w:rFonts w:ascii="黑体" w:hAnsi="黑体" w:eastAsia="黑体"/>
                <w:b/>
                <w:sz w:val="19"/>
              </w:rPr>
              <w:t>指标编码</w:t>
            </w:r>
          </w:p>
        </w:tc>
        <w:tc>
          <w:tcPr>
            <w:tcW w:type="dxa" w:w="2608"/>
          </w:tcPr>
          <w:p>
            <w:r/>
            <w:r>
              <w:rPr>
                <w:rFonts w:ascii="黑体" w:hAnsi="黑体" w:eastAsia="黑体"/>
                <w:b/>
                <w:sz w:val="19"/>
              </w:rPr>
              <w:t>指标名称</w:t>
            </w:r>
          </w:p>
        </w:tc>
        <w:tc>
          <w:tcPr>
            <w:tcW w:type="dxa" w:w="1020"/>
          </w:tcPr>
          <w:p>
            <w:r/>
            <w:r>
              <w:rPr>
                <w:rFonts w:ascii="黑体" w:hAnsi="黑体" w:eastAsia="黑体"/>
                <w:b/>
                <w:sz w:val="19"/>
              </w:rPr>
              <w:t>单位</w:t>
            </w:r>
          </w:p>
        </w:tc>
        <w:tc>
          <w:tcPr>
            <w:tcW w:type="dxa" w:w="1701"/>
          </w:tcPr>
          <w:p>
            <w:r/>
            <w:r>
              <w:rPr>
                <w:rFonts w:ascii="黑体" w:hAnsi="黑体" w:eastAsia="黑体"/>
                <w:b/>
                <w:sz w:val="19"/>
              </w:rPr>
              <w:t>方向</w:t>
            </w:r>
          </w:p>
        </w:tc>
      </w:tr>
      <w:tr>
        <w:tc>
          <w:tcPr>
            <w:tcW w:type="dxa" w:w="1361"/>
          </w:tcPr>
          <w:p>
            <w:r/>
            <w:r>
              <w:rPr>
                <w:rFonts w:ascii="Calibri" w:hAnsi="Calibri" w:eastAsia="宋体"/>
                <w:b w:val="0"/>
                <w:sz w:val="19"/>
              </w:rPr>
              <w:t>盈利能力</w:t>
            </w:r>
          </w:p>
        </w:tc>
        <w:tc>
          <w:tcPr>
            <w:tcW w:type="dxa" w:w="2041"/>
          </w:tcPr>
          <w:p>
            <w:r/>
            <w:r>
              <w:rPr>
                <w:rFonts w:ascii="Calibri" w:hAnsi="Calibri" w:eastAsia="宋体"/>
                <w:b w:val="0"/>
                <w:sz w:val="19"/>
              </w:rPr>
              <w:t>roe</w:t>
            </w:r>
          </w:p>
        </w:tc>
        <w:tc>
          <w:tcPr>
            <w:tcW w:type="dxa" w:w="2608"/>
          </w:tcPr>
          <w:p>
            <w:r/>
            <w:r>
              <w:rPr>
                <w:rFonts w:ascii="Calibri" w:hAnsi="Calibri" w:eastAsia="宋体"/>
                <w:b w:val="0"/>
                <w:sz w:val="19"/>
              </w:rPr>
              <w:t>净资产收益率(ROE)</w:t>
            </w:r>
          </w:p>
        </w:tc>
        <w:tc>
          <w:tcPr>
            <w:tcW w:type="dxa" w:w="1020"/>
          </w:tcPr>
          <w:p>
            <w:r/>
            <w:r>
              <w:rPr>
                <w:rFonts w:ascii="Calibri" w:hAnsi="Calibri" w:eastAsia="宋体"/>
                <w:b w:val="0"/>
                <w:sz w:val="19"/>
              </w:rPr>
              <w:t>%</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盈利能力</w:t>
            </w:r>
          </w:p>
        </w:tc>
        <w:tc>
          <w:tcPr>
            <w:tcW w:type="dxa" w:w="2041"/>
          </w:tcPr>
          <w:p>
            <w:r/>
            <w:r>
              <w:rPr>
                <w:rFonts w:ascii="Calibri" w:hAnsi="Calibri" w:eastAsia="宋体"/>
                <w:b w:val="0"/>
                <w:sz w:val="19"/>
              </w:rPr>
              <w:t>gross_margin</w:t>
            </w:r>
          </w:p>
        </w:tc>
        <w:tc>
          <w:tcPr>
            <w:tcW w:type="dxa" w:w="2608"/>
          </w:tcPr>
          <w:p>
            <w:r/>
            <w:r>
              <w:rPr>
                <w:rFonts w:ascii="Calibri" w:hAnsi="Calibri" w:eastAsia="宋体"/>
                <w:b w:val="0"/>
                <w:sz w:val="19"/>
              </w:rPr>
              <w:t>毛利率</w:t>
            </w:r>
          </w:p>
        </w:tc>
        <w:tc>
          <w:tcPr>
            <w:tcW w:type="dxa" w:w="1020"/>
          </w:tcPr>
          <w:p>
            <w:r/>
            <w:r>
              <w:rPr>
                <w:rFonts w:ascii="Calibri" w:hAnsi="Calibri" w:eastAsia="宋体"/>
                <w:b w:val="0"/>
                <w:sz w:val="19"/>
              </w:rPr>
              <w:t>%</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盈利能力</w:t>
            </w:r>
          </w:p>
        </w:tc>
        <w:tc>
          <w:tcPr>
            <w:tcW w:type="dxa" w:w="2041"/>
          </w:tcPr>
          <w:p>
            <w:r/>
            <w:r>
              <w:rPr>
                <w:rFonts w:ascii="Calibri" w:hAnsi="Calibri" w:eastAsia="宋体"/>
                <w:b w:val="0"/>
                <w:sz w:val="19"/>
              </w:rPr>
              <w:t>net_margin_parent</w:t>
            </w:r>
          </w:p>
        </w:tc>
        <w:tc>
          <w:tcPr>
            <w:tcW w:type="dxa" w:w="2608"/>
          </w:tcPr>
          <w:p>
            <w:r/>
            <w:r>
              <w:rPr>
                <w:rFonts w:ascii="Calibri" w:hAnsi="Calibri" w:eastAsia="宋体"/>
                <w:b w:val="0"/>
                <w:sz w:val="19"/>
              </w:rPr>
              <w:t>归母净利率</w:t>
            </w:r>
          </w:p>
        </w:tc>
        <w:tc>
          <w:tcPr>
            <w:tcW w:type="dxa" w:w="1020"/>
          </w:tcPr>
          <w:p>
            <w:r/>
            <w:r>
              <w:rPr>
                <w:rFonts w:ascii="Calibri" w:hAnsi="Calibri" w:eastAsia="宋体"/>
                <w:b w:val="0"/>
                <w:sz w:val="19"/>
              </w:rPr>
              <w:t>%</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成长性</w:t>
            </w:r>
          </w:p>
        </w:tc>
        <w:tc>
          <w:tcPr>
            <w:tcW w:type="dxa" w:w="2041"/>
          </w:tcPr>
          <w:p>
            <w:r/>
            <w:r>
              <w:rPr>
                <w:rFonts w:ascii="Calibri" w:hAnsi="Calibri" w:eastAsia="宋体"/>
                <w:b w:val="0"/>
                <w:sz w:val="19"/>
              </w:rPr>
              <w:t>revenue_growth</w:t>
            </w:r>
          </w:p>
        </w:tc>
        <w:tc>
          <w:tcPr>
            <w:tcW w:type="dxa" w:w="2608"/>
          </w:tcPr>
          <w:p>
            <w:r/>
            <w:r>
              <w:rPr>
                <w:rFonts w:ascii="Calibri" w:hAnsi="Calibri" w:eastAsia="宋体"/>
                <w:b w:val="0"/>
                <w:sz w:val="19"/>
              </w:rPr>
              <w:t>营业收入增长率</w:t>
            </w:r>
          </w:p>
        </w:tc>
        <w:tc>
          <w:tcPr>
            <w:tcW w:type="dxa" w:w="1020"/>
          </w:tcPr>
          <w:p>
            <w:r/>
            <w:r>
              <w:rPr>
                <w:rFonts w:ascii="Calibri" w:hAnsi="Calibri" w:eastAsia="宋体"/>
                <w:b w:val="0"/>
                <w:sz w:val="19"/>
              </w:rPr>
              <w:t>%</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成长性</w:t>
            </w:r>
          </w:p>
        </w:tc>
        <w:tc>
          <w:tcPr>
            <w:tcW w:type="dxa" w:w="2041"/>
          </w:tcPr>
          <w:p>
            <w:r/>
            <w:r>
              <w:rPr>
                <w:rFonts w:ascii="Calibri" w:hAnsi="Calibri" w:eastAsia="宋体"/>
                <w:b w:val="0"/>
                <w:sz w:val="19"/>
              </w:rPr>
              <w:t>profit_growth</w:t>
            </w:r>
          </w:p>
        </w:tc>
        <w:tc>
          <w:tcPr>
            <w:tcW w:type="dxa" w:w="2608"/>
          </w:tcPr>
          <w:p>
            <w:r/>
            <w:r>
              <w:rPr>
                <w:rFonts w:ascii="Calibri" w:hAnsi="Calibri" w:eastAsia="宋体"/>
                <w:b w:val="0"/>
                <w:sz w:val="19"/>
              </w:rPr>
              <w:t>归母净利润增长率</w:t>
            </w:r>
          </w:p>
        </w:tc>
        <w:tc>
          <w:tcPr>
            <w:tcW w:type="dxa" w:w="1020"/>
          </w:tcPr>
          <w:p>
            <w:r/>
            <w:r>
              <w:rPr>
                <w:rFonts w:ascii="Calibri" w:hAnsi="Calibri" w:eastAsia="宋体"/>
                <w:b w:val="0"/>
                <w:sz w:val="19"/>
              </w:rPr>
              <w:t>%</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财务风险</w:t>
            </w:r>
          </w:p>
        </w:tc>
        <w:tc>
          <w:tcPr>
            <w:tcW w:type="dxa" w:w="2041"/>
          </w:tcPr>
          <w:p>
            <w:r/>
            <w:r>
              <w:rPr>
                <w:rFonts w:ascii="Calibri" w:hAnsi="Calibri" w:eastAsia="宋体"/>
                <w:b w:val="0"/>
                <w:sz w:val="19"/>
              </w:rPr>
              <w:t>asset_liability_ratio</w:t>
            </w:r>
          </w:p>
        </w:tc>
        <w:tc>
          <w:tcPr>
            <w:tcW w:type="dxa" w:w="2608"/>
          </w:tcPr>
          <w:p>
            <w:r/>
            <w:r>
              <w:rPr>
                <w:rFonts w:ascii="Calibri" w:hAnsi="Calibri" w:eastAsia="宋体"/>
                <w:b w:val="0"/>
                <w:sz w:val="19"/>
              </w:rPr>
              <w:t>资产负债率</w:t>
            </w:r>
          </w:p>
        </w:tc>
        <w:tc>
          <w:tcPr>
            <w:tcW w:type="dxa" w:w="1020"/>
          </w:tcPr>
          <w:p>
            <w:r/>
            <w:r>
              <w:rPr>
                <w:rFonts w:ascii="Calibri" w:hAnsi="Calibri" w:eastAsia="宋体"/>
                <w:b w:val="0"/>
                <w:sz w:val="19"/>
              </w:rPr>
              <w:t>%</w:t>
            </w:r>
          </w:p>
        </w:tc>
        <w:tc>
          <w:tcPr>
            <w:tcW w:type="dxa" w:w="1701"/>
          </w:tcPr>
          <w:p>
            <w:r/>
            <w:r>
              <w:rPr>
                <w:rFonts w:ascii="Calibri" w:hAnsi="Calibri" w:eastAsia="宋体"/>
                <w:b w:val="0"/>
                <w:sz w:val="19"/>
              </w:rPr>
              <w:t>越低越好</w:t>
            </w:r>
          </w:p>
        </w:tc>
      </w:tr>
      <w:tr>
        <w:tc>
          <w:tcPr>
            <w:tcW w:type="dxa" w:w="1361"/>
          </w:tcPr>
          <w:p>
            <w:r/>
            <w:r>
              <w:rPr>
                <w:rFonts w:ascii="Calibri" w:hAnsi="Calibri" w:eastAsia="宋体"/>
                <w:b w:val="0"/>
                <w:sz w:val="19"/>
              </w:rPr>
              <w:t>财务风险</w:t>
            </w:r>
          </w:p>
        </w:tc>
        <w:tc>
          <w:tcPr>
            <w:tcW w:type="dxa" w:w="2041"/>
          </w:tcPr>
          <w:p>
            <w:r/>
            <w:r>
              <w:rPr>
                <w:rFonts w:ascii="Calibri" w:hAnsi="Calibri" w:eastAsia="宋体"/>
                <w:b w:val="0"/>
                <w:sz w:val="19"/>
              </w:rPr>
              <w:t>current_ratio</w:t>
            </w:r>
          </w:p>
        </w:tc>
        <w:tc>
          <w:tcPr>
            <w:tcW w:type="dxa" w:w="2608"/>
          </w:tcPr>
          <w:p>
            <w:r/>
            <w:r>
              <w:rPr>
                <w:rFonts w:ascii="Calibri" w:hAnsi="Calibri" w:eastAsia="宋体"/>
                <w:b w:val="0"/>
                <w:sz w:val="19"/>
              </w:rPr>
              <w:t>流动比率</w:t>
            </w:r>
          </w:p>
        </w:tc>
        <w:tc>
          <w:tcPr>
            <w:tcW w:type="dxa" w:w="1020"/>
          </w:tcPr>
          <w:p>
            <w:r/>
            <w:r>
              <w:rPr>
                <w:rFonts w:ascii="Calibri" w:hAnsi="Calibri" w:eastAsia="宋体"/>
                <w:b w:val="0"/>
                <w:sz w:val="19"/>
              </w:rPr>
              <w:t>倍</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财务风险</w:t>
            </w:r>
          </w:p>
        </w:tc>
        <w:tc>
          <w:tcPr>
            <w:tcW w:type="dxa" w:w="2041"/>
          </w:tcPr>
          <w:p>
            <w:r/>
            <w:r>
              <w:rPr>
                <w:rFonts w:ascii="Calibri" w:hAnsi="Calibri" w:eastAsia="宋体"/>
                <w:b w:val="0"/>
                <w:sz w:val="19"/>
              </w:rPr>
              <w:t>quick_ratio</w:t>
            </w:r>
          </w:p>
        </w:tc>
        <w:tc>
          <w:tcPr>
            <w:tcW w:type="dxa" w:w="2608"/>
          </w:tcPr>
          <w:p>
            <w:r/>
            <w:r>
              <w:rPr>
                <w:rFonts w:ascii="Calibri" w:hAnsi="Calibri" w:eastAsia="宋体"/>
                <w:b w:val="0"/>
                <w:sz w:val="19"/>
              </w:rPr>
              <w:t>速动比率</w:t>
            </w:r>
          </w:p>
        </w:tc>
        <w:tc>
          <w:tcPr>
            <w:tcW w:type="dxa" w:w="1020"/>
          </w:tcPr>
          <w:p>
            <w:r/>
            <w:r>
              <w:rPr>
                <w:rFonts w:ascii="Calibri" w:hAnsi="Calibri" w:eastAsia="宋体"/>
                <w:b w:val="0"/>
                <w:sz w:val="19"/>
              </w:rPr>
              <w:t>倍</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盈利质量</w:t>
            </w:r>
          </w:p>
        </w:tc>
        <w:tc>
          <w:tcPr>
            <w:tcW w:type="dxa" w:w="2041"/>
          </w:tcPr>
          <w:p>
            <w:r/>
            <w:r>
              <w:rPr>
                <w:rFonts w:ascii="Calibri" w:hAnsi="Calibri" w:eastAsia="宋体"/>
                <w:b w:val="0"/>
                <w:sz w:val="19"/>
              </w:rPr>
              <w:t>cashflow_quality</w:t>
            </w:r>
          </w:p>
        </w:tc>
        <w:tc>
          <w:tcPr>
            <w:tcW w:type="dxa" w:w="2608"/>
          </w:tcPr>
          <w:p>
            <w:r/>
            <w:r>
              <w:rPr>
                <w:rFonts w:ascii="Calibri" w:hAnsi="Calibri" w:eastAsia="宋体"/>
                <w:b w:val="0"/>
                <w:sz w:val="19"/>
              </w:rPr>
              <w:t>经营现金流/净利润</w:t>
            </w:r>
          </w:p>
        </w:tc>
        <w:tc>
          <w:tcPr>
            <w:tcW w:type="dxa" w:w="1020"/>
          </w:tcPr>
          <w:p>
            <w:r/>
            <w:r>
              <w:rPr>
                <w:rFonts w:ascii="Calibri" w:hAnsi="Calibri" w:eastAsia="宋体"/>
                <w:b w:val="0"/>
                <w:sz w:val="19"/>
              </w:rPr>
              <w:t>倍</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每股指标</w:t>
            </w:r>
          </w:p>
        </w:tc>
        <w:tc>
          <w:tcPr>
            <w:tcW w:type="dxa" w:w="2041"/>
          </w:tcPr>
          <w:p>
            <w:r/>
            <w:r>
              <w:rPr>
                <w:rFonts w:ascii="Calibri" w:hAnsi="Calibri" w:eastAsia="宋体"/>
                <w:b w:val="0"/>
                <w:sz w:val="19"/>
              </w:rPr>
              <w:t>eps</w:t>
            </w:r>
          </w:p>
        </w:tc>
        <w:tc>
          <w:tcPr>
            <w:tcW w:type="dxa" w:w="2608"/>
          </w:tcPr>
          <w:p>
            <w:r/>
            <w:r>
              <w:rPr>
                <w:rFonts w:ascii="Calibri" w:hAnsi="Calibri" w:eastAsia="宋体"/>
                <w:b w:val="0"/>
                <w:sz w:val="19"/>
              </w:rPr>
              <w:t>基本每股收益</w:t>
            </w:r>
          </w:p>
        </w:tc>
        <w:tc>
          <w:tcPr>
            <w:tcW w:type="dxa" w:w="1020"/>
          </w:tcPr>
          <w:p>
            <w:r/>
            <w:r>
              <w:rPr>
                <w:rFonts w:ascii="Calibri" w:hAnsi="Calibri" w:eastAsia="宋体"/>
                <w:b w:val="0"/>
                <w:sz w:val="19"/>
              </w:rPr>
              <w:t>元/股</w:t>
            </w:r>
          </w:p>
        </w:tc>
        <w:tc>
          <w:tcPr>
            <w:tcW w:type="dxa" w:w="1701"/>
          </w:tcPr>
          <w:p>
            <w:r/>
            <w:r>
              <w:rPr>
                <w:rFonts w:ascii="Calibri" w:hAnsi="Calibri" w:eastAsia="宋体"/>
                <w:b w:val="0"/>
                <w:sz w:val="19"/>
              </w:rPr>
              <w:t>越高越好</w:t>
            </w:r>
          </w:p>
        </w:tc>
      </w:tr>
      <w:tr>
        <w:tc>
          <w:tcPr>
            <w:tcW w:type="dxa" w:w="1361"/>
          </w:tcPr>
          <w:p>
            <w:r/>
            <w:r>
              <w:rPr>
                <w:rFonts w:ascii="Calibri" w:hAnsi="Calibri" w:eastAsia="宋体"/>
                <w:b w:val="0"/>
                <w:sz w:val="19"/>
              </w:rPr>
              <w:t>估值</w:t>
            </w:r>
          </w:p>
        </w:tc>
        <w:tc>
          <w:tcPr>
            <w:tcW w:type="dxa" w:w="2041"/>
          </w:tcPr>
          <w:p>
            <w:r/>
            <w:r>
              <w:rPr>
                <w:rFonts w:ascii="Calibri" w:hAnsi="Calibri" w:eastAsia="宋体"/>
                <w:b w:val="0"/>
                <w:sz w:val="19"/>
              </w:rPr>
              <w:t>pe</w:t>
            </w:r>
          </w:p>
        </w:tc>
        <w:tc>
          <w:tcPr>
            <w:tcW w:type="dxa" w:w="2608"/>
          </w:tcPr>
          <w:p>
            <w:r/>
            <w:r>
              <w:rPr>
                <w:rFonts w:ascii="Calibri" w:hAnsi="Calibri" w:eastAsia="宋体"/>
                <w:b w:val="0"/>
                <w:sz w:val="19"/>
              </w:rPr>
              <w:t>市盈率 PE</w:t>
            </w:r>
          </w:p>
        </w:tc>
        <w:tc>
          <w:tcPr>
            <w:tcW w:type="dxa" w:w="1020"/>
          </w:tcPr>
          <w:p>
            <w:r/>
            <w:r>
              <w:rPr>
                <w:rFonts w:ascii="Calibri" w:hAnsi="Calibri" w:eastAsia="宋体"/>
                <w:b w:val="0"/>
                <w:sz w:val="19"/>
              </w:rPr>
              <w:t>倍</w:t>
            </w:r>
          </w:p>
        </w:tc>
        <w:tc>
          <w:tcPr>
            <w:tcW w:type="dxa" w:w="1701"/>
          </w:tcPr>
          <w:p>
            <w:r/>
            <w:r>
              <w:rPr>
                <w:rFonts w:ascii="Calibri" w:hAnsi="Calibri" w:eastAsia="宋体"/>
                <w:b w:val="0"/>
                <w:sz w:val="19"/>
              </w:rPr>
              <w:t>越低越好</w:t>
            </w:r>
          </w:p>
        </w:tc>
      </w:tr>
      <w:tr>
        <w:tc>
          <w:tcPr>
            <w:tcW w:type="dxa" w:w="1361"/>
          </w:tcPr>
          <w:p>
            <w:r/>
            <w:r>
              <w:rPr>
                <w:rFonts w:ascii="Calibri" w:hAnsi="Calibri" w:eastAsia="宋体"/>
                <w:b w:val="0"/>
                <w:sz w:val="19"/>
              </w:rPr>
              <w:t>估值</w:t>
            </w:r>
          </w:p>
        </w:tc>
        <w:tc>
          <w:tcPr>
            <w:tcW w:type="dxa" w:w="2041"/>
          </w:tcPr>
          <w:p>
            <w:r/>
            <w:r>
              <w:rPr>
                <w:rFonts w:ascii="Calibri" w:hAnsi="Calibri" w:eastAsia="宋体"/>
                <w:b w:val="0"/>
                <w:sz w:val="19"/>
              </w:rPr>
              <w:t>pb</w:t>
            </w:r>
          </w:p>
        </w:tc>
        <w:tc>
          <w:tcPr>
            <w:tcW w:type="dxa" w:w="2608"/>
          </w:tcPr>
          <w:p>
            <w:r/>
            <w:r>
              <w:rPr>
                <w:rFonts w:ascii="Calibri" w:hAnsi="Calibri" w:eastAsia="宋体"/>
                <w:b w:val="0"/>
                <w:sz w:val="19"/>
              </w:rPr>
              <w:t>市净率 PB</w:t>
            </w:r>
          </w:p>
        </w:tc>
        <w:tc>
          <w:tcPr>
            <w:tcW w:type="dxa" w:w="1020"/>
          </w:tcPr>
          <w:p>
            <w:r/>
            <w:r>
              <w:rPr>
                <w:rFonts w:ascii="Calibri" w:hAnsi="Calibri" w:eastAsia="宋体"/>
                <w:b w:val="0"/>
                <w:sz w:val="19"/>
              </w:rPr>
              <w:t>倍</w:t>
            </w:r>
          </w:p>
        </w:tc>
        <w:tc>
          <w:tcPr>
            <w:tcW w:type="dxa" w:w="1701"/>
          </w:tcPr>
          <w:p>
            <w:r/>
            <w:r>
              <w:rPr>
                <w:rFonts w:ascii="Calibri" w:hAnsi="Calibri" w:eastAsia="宋体"/>
                <w:b w:val="0"/>
                <w:sz w:val="19"/>
              </w:rPr>
              <w:t>越低越好</w:t>
            </w:r>
          </w:p>
        </w:tc>
      </w:tr>
    </w:tbl>
    <w:p>
      <w:pPr>
        <w:spacing w:before="240" w:after="120"/>
      </w:pPr>
      <w:r>
        <w:rPr>
          <w:rFonts w:ascii="黑体" w:hAnsi="黑体" w:eastAsia="黑体"/>
          <w:b/>
          <w:sz w:val="28"/>
        </w:rPr>
        <w:t>附录 B　数据库表结构</w:t>
      </w:r>
    </w:p>
    <w:tbl>
      <w:tblPr>
        <w:tblStyle w:val="TableGrid"/>
        <w:tblW w:type="auto" w:w="0"/>
        <w:jc w:val="center"/>
        <w:tblLook w:firstColumn="1" w:firstRow="1" w:lastColumn="0" w:lastRow="0" w:noHBand="0" w:noVBand="1" w:val="04A0"/>
      </w:tblPr>
      <w:tblGrid>
        <w:gridCol w:w="4535"/>
        <w:gridCol w:w="4535"/>
      </w:tblGrid>
      <w:tr>
        <w:tc>
          <w:tcPr>
            <w:tcW w:type="dxa" w:w="2608"/>
          </w:tcPr>
          <w:p>
            <w:r/>
            <w:r>
              <w:rPr>
                <w:rFonts w:ascii="黑体" w:hAnsi="黑体" w:eastAsia="黑体"/>
                <w:b/>
                <w:sz w:val="19"/>
              </w:rPr>
              <w:t>表名</w:t>
            </w:r>
          </w:p>
        </w:tc>
        <w:tc>
          <w:tcPr>
            <w:tcW w:type="dxa" w:w="6350"/>
          </w:tcPr>
          <w:p>
            <w:r/>
            <w:r>
              <w:rPr>
                <w:rFonts w:ascii="黑体" w:hAnsi="黑体" w:eastAsia="黑体"/>
                <w:b/>
                <w:sz w:val="19"/>
              </w:rPr>
              <w:t>说明</w:t>
            </w:r>
          </w:p>
        </w:tc>
      </w:tr>
      <w:tr>
        <w:tc>
          <w:tcPr>
            <w:tcW w:type="dxa" w:w="2608"/>
          </w:tcPr>
          <w:p>
            <w:r/>
            <w:r>
              <w:rPr>
                <w:rFonts w:ascii="Calibri" w:hAnsi="Calibri" w:eastAsia="宋体"/>
                <w:b w:val="0"/>
                <w:sz w:val="19"/>
              </w:rPr>
              <w:t>industry_category</w:t>
            </w:r>
          </w:p>
        </w:tc>
        <w:tc>
          <w:tcPr>
            <w:tcW w:type="dxa" w:w="6350"/>
          </w:tcPr>
          <w:p>
            <w:r/>
            <w:r>
              <w:rPr>
                <w:rFonts w:ascii="Calibri" w:hAnsi="Calibri" w:eastAsia="宋体"/>
                <w:b w:val="0"/>
                <w:sz w:val="19"/>
              </w:rPr>
              <w:t>行业分类（证监会行业门类代码）</w:t>
            </w:r>
          </w:p>
        </w:tc>
      </w:tr>
      <w:tr>
        <w:tc>
          <w:tcPr>
            <w:tcW w:type="dxa" w:w="2608"/>
          </w:tcPr>
          <w:p>
            <w:r/>
            <w:r>
              <w:rPr>
                <w:rFonts w:ascii="Calibri" w:hAnsi="Calibri" w:eastAsia="宋体"/>
                <w:b w:val="0"/>
                <w:sz w:val="19"/>
              </w:rPr>
              <w:t>listed_company</w:t>
            </w:r>
          </w:p>
        </w:tc>
        <w:tc>
          <w:tcPr>
            <w:tcW w:type="dxa" w:w="6350"/>
          </w:tcPr>
          <w:p>
            <w:r/>
            <w:r>
              <w:rPr>
                <w:rFonts w:ascii="Calibri" w:hAnsi="Calibri" w:eastAsia="宋体"/>
                <w:b w:val="0"/>
                <w:sz w:val="19"/>
              </w:rPr>
              <w:t>上市公司基础信息（代码、简称、所属行业、上市日期）</w:t>
            </w:r>
          </w:p>
        </w:tc>
      </w:tr>
      <w:tr>
        <w:tc>
          <w:tcPr>
            <w:tcW w:type="dxa" w:w="2608"/>
          </w:tcPr>
          <w:p>
            <w:r/>
            <w:r>
              <w:rPr>
                <w:rFonts w:ascii="Calibri" w:hAnsi="Calibri" w:eastAsia="宋体"/>
                <w:b w:val="0"/>
                <w:sz w:val="19"/>
              </w:rPr>
              <w:t>report_item</w:t>
            </w:r>
          </w:p>
        </w:tc>
        <w:tc>
          <w:tcPr>
            <w:tcW w:type="dxa" w:w="6350"/>
          </w:tcPr>
          <w:p>
            <w:r/>
            <w:r>
              <w:rPr>
                <w:rFonts w:ascii="Calibri" w:hAnsi="Calibri" w:eastAsia="宋体"/>
                <w:b w:val="0"/>
                <w:sz w:val="19"/>
              </w:rPr>
              <w:t>财报科目字典（23 项原始报表科目）</w:t>
            </w:r>
          </w:p>
        </w:tc>
      </w:tr>
      <w:tr>
        <w:tc>
          <w:tcPr>
            <w:tcW w:type="dxa" w:w="2608"/>
          </w:tcPr>
          <w:p>
            <w:r/>
            <w:r>
              <w:rPr>
                <w:rFonts w:ascii="Calibri" w:hAnsi="Calibri" w:eastAsia="宋体"/>
                <w:b w:val="0"/>
                <w:sz w:val="19"/>
              </w:rPr>
              <w:t>financial_raw_data</w:t>
            </w:r>
          </w:p>
        </w:tc>
        <w:tc>
          <w:tcPr>
            <w:tcW w:type="dxa" w:w="6350"/>
          </w:tcPr>
          <w:p>
            <w:r/>
            <w:r>
              <w:rPr>
                <w:rFonts w:ascii="Calibri" w:hAnsi="Calibri" w:eastAsia="宋体"/>
                <w:b w:val="0"/>
                <w:sz w:val="19"/>
              </w:rPr>
              <w:t>公司×年度×科目的金额原始数据</w:t>
            </w:r>
          </w:p>
        </w:tc>
      </w:tr>
      <w:tr>
        <w:tc>
          <w:tcPr>
            <w:tcW w:type="dxa" w:w="2608"/>
          </w:tcPr>
          <w:p>
            <w:r/>
            <w:r>
              <w:rPr>
                <w:rFonts w:ascii="Calibri" w:hAnsi="Calibri" w:eastAsia="宋体"/>
                <w:b w:val="0"/>
                <w:sz w:val="19"/>
              </w:rPr>
              <w:t>financial_indicator</w:t>
            </w:r>
          </w:p>
        </w:tc>
        <w:tc>
          <w:tcPr>
            <w:tcW w:type="dxa" w:w="6350"/>
          </w:tcPr>
          <w:p>
            <w:r/>
            <w:r>
              <w:rPr>
                <w:rFonts w:ascii="Calibri" w:hAnsi="Calibri" w:eastAsia="宋体"/>
                <w:b w:val="0"/>
                <w:sz w:val="19"/>
              </w:rPr>
              <w:t>标准化财务指标（计算引擎产出，12 项）</w:t>
            </w:r>
          </w:p>
        </w:tc>
      </w:tr>
      <w:tr>
        <w:tc>
          <w:tcPr>
            <w:tcW w:type="dxa" w:w="2608"/>
          </w:tcPr>
          <w:p>
            <w:r/>
            <w:r>
              <w:rPr>
                <w:rFonts w:ascii="Calibri" w:hAnsi="Calibri" w:eastAsia="宋体"/>
                <w:b w:val="0"/>
                <w:sz w:val="19"/>
              </w:rPr>
              <w:t>industry_benchmark</w:t>
            </w:r>
          </w:p>
        </w:tc>
        <w:tc>
          <w:tcPr>
            <w:tcW w:type="dxa" w:w="6350"/>
          </w:tcPr>
          <w:p>
            <w:r/>
            <w:r>
              <w:rPr>
                <w:rFonts w:ascii="Calibri" w:hAnsi="Calibri" w:eastAsia="宋体"/>
                <w:b w:val="0"/>
                <w:sz w:val="19"/>
              </w:rPr>
              <w:t>行业统计基准（均值/中位数/标准差/P25/P75）</w:t>
            </w:r>
          </w:p>
        </w:tc>
      </w:tr>
      <w:tr>
        <w:tc>
          <w:tcPr>
            <w:tcW w:type="dxa" w:w="2608"/>
          </w:tcPr>
          <w:p>
            <w:r/>
            <w:r>
              <w:rPr>
                <w:rFonts w:ascii="Calibri" w:hAnsi="Calibri" w:eastAsia="宋体"/>
                <w:b w:val="0"/>
                <w:sz w:val="19"/>
              </w:rPr>
              <w:t>valuation_snapshot</w:t>
            </w:r>
          </w:p>
        </w:tc>
        <w:tc>
          <w:tcPr>
            <w:tcW w:type="dxa" w:w="6350"/>
          </w:tcPr>
          <w:p>
            <w:r/>
            <w:r>
              <w:rPr>
                <w:rFonts w:ascii="Calibri" w:hAnsi="Calibri" w:eastAsia="宋体"/>
                <w:b w:val="0"/>
                <w:sz w:val="19"/>
              </w:rPr>
              <w:t>年末估值快照（收盘价与总市值）</w:t>
            </w:r>
          </w:p>
        </w:tc>
      </w:tr>
      <w:tr>
        <w:tc>
          <w:tcPr>
            <w:tcW w:type="dxa" w:w="2608"/>
          </w:tcPr>
          <w:p>
            <w:r/>
            <w:r>
              <w:rPr>
                <w:rFonts w:ascii="Calibri" w:hAnsi="Calibri" w:eastAsia="宋体"/>
                <w:b w:val="0"/>
                <w:sz w:val="19"/>
              </w:rPr>
              <w:t>prompt_template</w:t>
            </w:r>
          </w:p>
        </w:tc>
        <w:tc>
          <w:tcPr>
            <w:tcW w:type="dxa" w:w="6350"/>
          </w:tcPr>
          <w:p>
            <w:r/>
            <w:r>
              <w:rPr>
                <w:rFonts w:ascii="Calibri" w:hAnsi="Calibri" w:eastAsia="宋体"/>
                <w:b w:val="0"/>
                <w:sz w:val="19"/>
              </w:rPr>
              <w:t>三层 Prompt 模板（带版本号与启用标记）</w:t>
            </w:r>
          </w:p>
        </w:tc>
      </w:tr>
      <w:tr>
        <w:tc>
          <w:tcPr>
            <w:tcW w:type="dxa" w:w="2608"/>
          </w:tcPr>
          <w:p>
            <w:r/>
            <w:r>
              <w:rPr>
                <w:rFonts w:ascii="Calibri" w:hAnsi="Calibri" w:eastAsia="宋体"/>
                <w:b w:val="0"/>
                <w:sz w:val="19"/>
              </w:rPr>
              <w:t>ai_report</w:t>
            </w:r>
          </w:p>
        </w:tc>
        <w:tc>
          <w:tcPr>
            <w:tcW w:type="dxa" w:w="6350"/>
          </w:tcPr>
          <w:p>
            <w:r/>
            <w:r>
              <w:rPr>
                <w:rFonts w:ascii="Calibri" w:hAnsi="Calibri" w:eastAsia="宋体"/>
                <w:b w:val="0"/>
                <w:sz w:val="19"/>
              </w:rPr>
              <w:t>AI 解读报告与对话记录（含注入上下文，用于防幻觉审计）</w:t>
            </w:r>
          </w:p>
        </w:tc>
      </w:tr>
    </w:tbl>
    <w:p>
      <w:pPr>
        <w:spacing w:before="240" w:after="120"/>
      </w:pPr>
      <w:r>
        <w:rPr>
          <w:rFonts w:ascii="黑体" w:hAnsi="黑体" w:eastAsia="黑体"/>
          <w:b/>
          <w:sz w:val="28"/>
        </w:rPr>
        <w:t>附录 C　主要接口清单</w:t>
      </w:r>
    </w:p>
    <w:tbl>
      <w:tblPr>
        <w:tblStyle w:val="TableGrid"/>
        <w:tblW w:type="auto" w:w="0"/>
        <w:jc w:val="center"/>
        <w:tblLook w:firstColumn="1" w:firstRow="1" w:lastColumn="0" w:lastRow="0" w:noHBand="0" w:noVBand="1" w:val="04A0"/>
      </w:tblPr>
      <w:tblGrid>
        <w:gridCol w:w="3024"/>
        <w:gridCol w:w="3024"/>
        <w:gridCol w:w="3024"/>
      </w:tblGrid>
      <w:tr>
        <w:tc>
          <w:tcPr>
            <w:tcW w:type="dxa" w:w="1020"/>
          </w:tcPr>
          <w:p>
            <w:r/>
            <w:r>
              <w:rPr>
                <w:rFonts w:ascii="黑体" w:hAnsi="黑体" w:eastAsia="黑体"/>
                <w:b/>
                <w:sz w:val="19"/>
              </w:rPr>
              <w:t>方法</w:t>
            </w:r>
          </w:p>
        </w:tc>
        <w:tc>
          <w:tcPr>
            <w:tcW w:type="dxa" w:w="3628"/>
          </w:tcPr>
          <w:p>
            <w:r/>
            <w:r>
              <w:rPr>
                <w:rFonts w:ascii="黑体" w:hAnsi="黑体" w:eastAsia="黑体"/>
                <w:b/>
                <w:sz w:val="19"/>
              </w:rPr>
              <w:t>路径</w:t>
            </w:r>
          </w:p>
        </w:tc>
        <w:tc>
          <w:tcPr>
            <w:tcW w:type="dxa" w:w="4309"/>
          </w:tcPr>
          <w:p>
            <w:r/>
            <w:r>
              <w:rPr>
                <w:rFonts w:ascii="黑体" w:hAnsi="黑体" w:eastAsia="黑体"/>
                <w:b/>
                <w:sz w:val="19"/>
              </w:rPr>
              <w:t>说明</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/api/finance/industries</w:t>
            </w:r>
          </w:p>
        </w:tc>
        <w:tc>
          <w:tcPr>
            <w:tcW w:type="dxa" w:w="4309"/>
          </w:tcPr>
          <w:p>
            <w:r/>
            <w:r>
              <w:rPr>
                <w:rFonts w:ascii="Calibri" w:hAnsi="Calibri" w:eastAsia="宋体"/>
                <w:b w:val="0"/>
                <w:sz w:val="19"/>
              </w:rPr>
              <w:t>行业列表（含公司数量）</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/api/finance/indicators</w:t>
            </w:r>
          </w:p>
        </w:tc>
        <w:tc>
          <w:tcPr>
            <w:tcW w:type="dxa" w:w="4309"/>
          </w:tcPr>
          <w:p>
            <w:r/>
            <w:r>
              <w:rPr>
                <w:rFonts w:ascii="Calibri" w:hAnsi="Calibri" w:eastAsia="宋体"/>
                <w:b w:val="0"/>
                <w:sz w:val="19"/>
              </w:rPr>
              <w:t>指标元数据（编码/名称/维度/单位/方向）</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/api/finance/companies</w:t>
            </w:r>
          </w:p>
        </w:tc>
        <w:tc>
          <w:tcPr>
            <w:tcW w:type="dxa" w:w="4309"/>
          </w:tcPr>
          <w:p>
            <w:r/>
            <w:r>
              <w:rPr>
                <w:rFonts w:ascii="Calibri" w:hAnsi="Calibri" w:eastAsia="宋体"/>
                <w:b w:val="0"/>
                <w:sz w:val="19"/>
              </w:rPr>
              <w:t>公司分页查询（关键字、行业筛选）</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/api/finance/profile</w:t>
            </w:r>
          </w:p>
        </w:tc>
        <w:tc>
          <w:tcPr>
            <w:tcW w:type="dxa" w:w="4309"/>
          </w:tcPr>
          <w:p>
            <w:r/>
            <w:r>
              <w:rPr>
                <w:rFonts w:ascii="Calibri" w:hAnsi="Calibri" w:eastAsia="宋体"/>
                <w:b w:val="0"/>
                <w:sz w:val="19"/>
              </w:rPr>
              <w:t>财务画像（报表科目 + 指标 + 估值）</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/api/finance/trend</w:t>
            </w:r>
          </w:p>
        </w:tc>
        <w:tc>
          <w:tcPr>
            <w:tcW w:type="dxa" w:w="4309"/>
          </w:tcPr>
          <w:p>
            <w:r/>
            <w:r>
              <w:rPr>
                <w:rFonts w:ascii="Calibri" w:hAnsi="Calibri" w:eastAsia="宋体"/>
                <w:b w:val="0"/>
                <w:sz w:val="19"/>
              </w:rPr>
              <w:t>多年度指标趋势</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/api/finance/benchmark</w:t>
            </w:r>
          </w:p>
        </w:tc>
        <w:tc>
          <w:tcPr>
            <w:tcW w:type="dxa" w:w="4309"/>
          </w:tcPr>
          <w:p>
            <w:r/>
            <w:r>
              <w:rPr>
                <w:rFonts w:ascii="Calibri" w:hAnsi="Calibri" w:eastAsia="宋体"/>
                <w:b w:val="0"/>
                <w:sz w:val="19"/>
              </w:rPr>
              <w:t>行业对标（基准、百分位、评分、排名）</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/api/finance/ranking</w:t>
            </w:r>
          </w:p>
        </w:tc>
        <w:tc>
          <w:tcPr>
            <w:tcW w:type="dxa" w:w="4309"/>
          </w:tcPr>
          <w:p>
            <w:r/>
            <w:r>
              <w:rPr>
                <w:rFonts w:ascii="Calibri" w:hAnsi="Calibri" w:eastAsia="宋体"/>
                <w:b w:val="0"/>
                <w:sz w:val="19"/>
              </w:rPr>
              <w:t>行业指标排名</w:t>
            </w:r>
          </w:p>
        </w:tc>
      </w:tr>
      <w:tr>
        <w:tc>
          <w:tcPr>
            <w:tcW w:type="dxa" w:w="1020"/>
          </w:tcPr>
          <w:p>
            <w:r/>
            <w:r>
              <w:rPr>
                <w:rFonts w:ascii="Calibri" w:hAnsi="Calibri" w:eastAsia="宋体"/>
                <w:b w:val="0"/>
                <w:sz w:val="19"/>
              </w:rPr>
              <w:t>POST</w:t>
            </w:r>
          </w:p>
        </w:tc>
        <w:tc>
          <w:tcPr>
            <w:tcW w:type="dxa" w:w="3628"/>
          </w:tcPr>
          <w:p>
            <w:r/>
            <w:r>
              <w:rPr>
                <w:rFonts w:ascii="Calibri" w:hAnsi="Calibri" w:eastAsia="宋体"/>
                <w:b w:val="0"/>
                <w:sz w:val="19"/>
              </w:rPr>
              <w:t>/api/finance/screening</w:t>
            </w:r>
          </w:p>
        </w:tc>
        <w:tc>
          <w:tcPr>
            <w:tcW w:type="dxa" w:w="4309"/>
          </w:tcPr>
          <w:p>
            <w:r/>
            <w:r>
              <w:rPr>
                <w:rFonts w:ascii="Calibri" w:hAnsi="Calibri" w:eastAsia="宋体"/>
                <w:b w:val="0"/>
                <w:sz w:val="19"/>
              </w:rPr>
              <w:t>多条件交叉筛选（AND）</w:t>
            </w:r>
          </w:p>
        </w:tc>
      </w:tr>
      <w:tr>
        <w:tc>
          <w:tcPr>
            <w:tcW w:type="dxa" w:w="1020"/>
          </w:tcPr>
          <w:p>
            <w:r/>
            <w:r>
              <w:rPr>
                <w:rFonts w:ascii="Calibri" w:hAnsi="Calibri" w:eastAsia="宋体"/>
                <w:b w:val="0"/>
                <w:sz w:val="19"/>
              </w:rPr>
              <w:t>POST</w:t>
            </w:r>
          </w:p>
        </w:tc>
        <w:tc>
          <w:tcPr>
            <w:tcW w:type="dxa" w:w="3628"/>
          </w:tcPr>
          <w:p>
            <w:r/>
            <w:r>
              <w:rPr>
                <w:rFonts w:ascii="Calibri" w:hAnsi="Calibri" w:eastAsia="宋体"/>
                <w:b w:val="0"/>
                <w:sz w:val="19"/>
              </w:rPr>
              <w:t>/api/finance/recalc</w:t>
            </w:r>
          </w:p>
        </w:tc>
        <w:tc>
          <w:tcPr>
            <w:tcW w:type="dxa" w:w="4309"/>
          </w:tcPr>
          <w:p>
            <w:r/>
            <w:r>
              <w:rPr>
                <w:rFonts w:ascii="Calibri" w:hAnsi="Calibri" w:eastAsia="宋体"/>
                <w:b w:val="0"/>
                <w:sz w:val="19"/>
              </w:rPr>
              <w:t>重算指标与行业对标</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/api/ai/templates</w:t>
            </w:r>
          </w:p>
        </w:tc>
        <w:tc>
          <w:tcPr>
            <w:tcW w:type="dxa" w:w="4309"/>
          </w:tcPr>
          <w:p>
            <w:r/>
            <w:r>
              <w:rPr>
                <w:rFonts w:ascii="Calibri" w:hAnsi="Calibri" w:eastAsia="宋体"/>
                <w:b w:val="0"/>
                <w:sz w:val="19"/>
              </w:rPr>
              <w:t>三层 Prompt 模板列表</w:t>
            </w:r>
          </w:p>
        </w:tc>
      </w:tr>
      <w:tr>
        <w:tc>
          <w:tcPr>
            <w:tcW w:type="dxa" w:w="1020"/>
          </w:tcPr>
          <w:p>
            <w:r/>
            <w:r>
              <w:rPr>
                <w:rFonts w:ascii="Calibri" w:hAnsi="Calibri" w:eastAsia="宋体"/>
                <w:b w:val="0"/>
                <w:sz w:val="19"/>
              </w:rPr>
              <w:t>POST</w:t>
            </w:r>
          </w:p>
        </w:tc>
        <w:tc>
          <w:tcPr>
            <w:tcW w:type="dxa" w:w="3628"/>
          </w:tcPr>
          <w:p>
            <w:r/>
            <w:r>
              <w:rPr>
                <w:rFonts w:ascii="Calibri" w:hAnsi="Calibri" w:eastAsia="宋体"/>
                <w:b w:val="0"/>
                <w:sz w:val="19"/>
              </w:rPr>
              <w:t>/api/ai/report</w:t>
            </w:r>
          </w:p>
        </w:tc>
        <w:tc>
          <w:tcPr>
            <w:tcW w:type="dxa" w:w="4309"/>
          </w:tcPr>
          <w:p>
            <w:r/>
            <w:r>
              <w:rPr>
                <w:rFonts w:ascii="Calibri" w:hAnsi="Calibri" w:eastAsia="宋体"/>
                <w:b w:val="0"/>
                <w:sz w:val="19"/>
              </w:rPr>
              <w:t>生成财报解读简报</w:t>
            </w:r>
          </w:p>
        </w:tc>
      </w:tr>
      <w:tr>
        <w:tc>
          <w:tcPr>
            <w:tcW w:type="dxa" w:w="1020"/>
          </w:tcPr>
          <w:p>
            <w:r/>
            <w:r>
              <w:rPr>
                <w:rFonts w:ascii="Calibri" w:hAnsi="Calibri" w:eastAsia="宋体"/>
                <w:b w:val="0"/>
                <w:sz w:val="19"/>
              </w:rPr>
              <w:t>POST</w:t>
            </w:r>
          </w:p>
        </w:tc>
        <w:tc>
          <w:tcPr>
            <w:tcW w:type="dxa" w:w="3628"/>
          </w:tcPr>
          <w:p>
            <w:r/>
            <w:r>
              <w:rPr>
                <w:rFonts w:ascii="Calibri" w:hAnsi="Calibri" w:eastAsia="宋体"/>
                <w:b w:val="0"/>
                <w:sz w:val="19"/>
              </w:rPr>
              <w:t>/api/ai/chat</w:t>
            </w:r>
          </w:p>
        </w:tc>
        <w:tc>
          <w:tcPr>
            <w:tcW w:type="dxa" w:w="4309"/>
          </w:tcPr>
          <w:p>
            <w:r/>
            <w:r>
              <w:rPr>
                <w:rFonts w:ascii="Calibri" w:hAnsi="Calibri" w:eastAsia="宋体"/>
                <w:b w:val="0"/>
                <w:sz w:val="19"/>
              </w:rPr>
              <w:t>上下文感知的追问对话</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/api/ai/reports</w:t>
            </w:r>
          </w:p>
        </w:tc>
        <w:tc>
          <w:tcPr>
            <w:tcW w:type="dxa" w:w="4309"/>
          </w:tcPr>
          <w:p>
            <w:r/>
            <w:r>
              <w:rPr>
                <w:rFonts w:ascii="Calibri" w:hAnsi="Calibri" w:eastAsia="宋体"/>
                <w:b w:val="0"/>
                <w:sz w:val="19"/>
              </w:rPr>
              <w:t>历史报告与对话记录</w:t>
            </w:r>
          </w:p>
        </w:tc>
      </w:tr>
      <w:tr>
        <w:tc>
          <w:tcPr>
            <w:tcW w:type="dxa" w:w="1020"/>
          </w:tcPr>
          <w:p>
            <w:r/>
            <w:r>
              <w:rPr>
                <w:rFonts w:ascii="Calibri" w:hAnsi="Calibri" w:eastAsia="宋体"/>
                <w:b w:val="0"/>
                <w:sz w:val="19"/>
              </w:rPr>
              <w:t>GET</w:t>
            </w:r>
          </w:p>
        </w:tc>
        <w:tc>
          <w:tcPr>
            <w:tcW w:type="dxa" w:w="3628"/>
          </w:tcPr>
          <w:p>
            <w:r/>
            <w:r>
              <w:rPr>
                <w:rFonts w:ascii="Calibri" w:hAnsi="Calibri" w:eastAsia="宋体"/>
                <w:b w:val="0"/>
                <w:sz w:val="19"/>
              </w:rPr>
              <w:t>/api/health</w:t>
            </w:r>
          </w:p>
        </w:tc>
        <w:tc>
          <w:tcPr>
            <w:tcW w:type="dxa" w:w="4309"/>
          </w:tcPr>
          <w:p>
            <w:r/>
            <w:r>
              <w:rPr>
                <w:rFonts w:ascii="Calibri" w:hAnsi="Calibri" w:eastAsia="宋体"/>
                <w:b w:val="0"/>
                <w:sz w:val="19"/>
              </w:rPr>
              <w:t>系统健康检查</w:t>
            </w:r>
          </w:p>
        </w:tc>
      </w:tr>
    </w:tbl>
    <w:p>
      <w:pPr>
        <w:spacing w:before="240" w:after="120"/>
      </w:pPr>
      <w:r>
        <w:rPr>
          <w:rFonts w:ascii="黑体" w:hAnsi="黑体" w:eastAsia="黑体"/>
          <w:b/>
          <w:sz w:val="28"/>
        </w:rPr>
        <w:t>附录 D　三层 Prompt 模板示例</w:t>
      </w:r>
    </w:p>
    <w:p>
      <w:pPr>
        <w:spacing w:after="80" w:line="360" w:lineRule="auto"/>
        <w:ind w:firstLine="420"/>
      </w:pPr>
      <w:r>
        <w:rPr>
          <w:rFonts w:ascii="Calibri" w:hAnsi="Calibri" w:eastAsia="宋体"/>
          <w:b w:val="0"/>
          <w:sz w:val="21"/>
        </w:rPr>
        <w:t>系统将 Prompt 拆分为三层并分别存库管理，运行期按“system = 角色设定 + 数据注入，user = 输出约束 + 用户指令”组装：</w:t>
      </w:r>
    </w:p>
    <w:p>
      <w:pPr>
        <w:spacing w:before="160" w:after="120"/>
      </w:pPr>
      <w:r>
        <w:rPr>
          <w:rFonts w:ascii="黑体" w:hAnsi="黑体" w:eastAsia="黑体"/>
          <w:b/>
          <w:sz w:val="24"/>
        </w:rPr>
        <w:t>① 角色设定（system）</w:t>
      </w:r>
    </w:p>
    <w:p>
      <w:pPr>
        <w:spacing w:after="80" w:line="360" w:lineRule="auto"/>
        <w:ind w:firstLine="420"/>
      </w:pPr>
      <w:r>
        <w:rPr>
          <w:rFonts w:ascii="Calibri" w:hAnsi="Calibri" w:eastAsia="宋体"/>
          <w:b w:val="0"/>
          <w:sz w:val="21"/>
        </w:rPr>
        <w:t>你是一位资深的上市公司财务分析师，拥有 CFA 资质与 10 年以上 A 股财报分析经验，擅长通过财务指标对上市公司进行客观诊断，并以通俗易懂的语言向普通投资者解释专业结论。你的分析风格：客观、严谨、克制，不夸大、不唱多、不唱空，结论必须有数据支撑。</w:t>
      </w:r>
    </w:p>
    <w:p>
      <w:pPr>
        <w:spacing w:before="160" w:after="120"/>
      </w:pPr>
      <w:r>
        <w:rPr>
          <w:rFonts w:ascii="黑体" w:hAnsi="黑体" w:eastAsia="黑体"/>
          <w:b/>
          <w:sz w:val="24"/>
        </w:rPr>
        <w:t>② 数据注入（system）</w:t>
      </w:r>
    </w:p>
    <w:p>
      <w:pPr>
        <w:spacing w:after="80" w:line="360" w:lineRule="auto"/>
        <w:ind w:firstLine="420"/>
      </w:pPr>
      <w:r>
        <w:rPr>
          <w:rFonts w:ascii="Calibri" w:hAnsi="Calibri" w:eastAsia="宋体"/>
          <w:b w:val="0"/>
          <w:sz w:val="21"/>
        </w:rPr>
        <w:t>以下是由系统精确计算出的【该公司】{fiscalYear} 年财务指标与行业对标数据（JSON 格式），这是本次分析唯一可信的数据来源：{data_json}。行业对标口径：行业均值/中位数/P25/P75 基于同行业上市公司同一年度数据计算；百分位排名表示该公司指标值在行业内所处位置（0-100，越高表示相对越优）。</w:t>
      </w:r>
    </w:p>
    <w:p>
      <w:pPr>
        <w:spacing w:before="160" w:after="120"/>
      </w:pPr>
      <w:r>
        <w:rPr>
          <w:rFonts w:ascii="黑体" w:hAnsi="黑体" w:eastAsia="黑体"/>
          <w:b/>
          <w:sz w:val="24"/>
        </w:rPr>
        <w:t>③ 输出约束（user）</w:t>
      </w:r>
    </w:p>
    <w:p>
      <w:pPr>
        <w:spacing w:after="80" w:line="360" w:lineRule="auto"/>
        <w:ind w:firstLine="420"/>
      </w:pPr>
      <w:r>
        <w:rPr>
          <w:rFonts w:ascii="Calibri" w:hAnsi="Calibri" w:eastAsia="宋体"/>
          <w:b w:val="0"/>
          <w:sz w:val="21"/>
        </w:rPr>
        <w:t>请严格按照以下要求输出解读报告：1. 只能使用【数据注入】中提供的数据，严禁编造、推断或补充任何数据注入中不存在的数字；2. 报告结构固定为六个章节；3. 每个章节必须引用具体指标数值与行业对标结果；4. 结论部分给出综合评级与理由；5. 使用中文、Markdown 格式，控制在 800 字以内；6. 如果某维度数据缺失，明确说明“该维度数据不足，无法分析”，不得猜测。</w:t>
      </w:r>
    </w:p>
    <w:p>
      <w:pPr>
        <w:spacing w:after="80" w:line="360" w:lineRule="auto"/>
        <w:ind w:firstLine="420"/>
      </w:pPr>
      <w:r>
        <w:rPr>
          <w:rFonts w:ascii="Calibri" w:hAnsi="Calibri" w:eastAsia="宋体"/>
          <w:b w:val="0"/>
          <w:sz w:val="21"/>
        </w:rPr>
        <w:t>此外，系统在生成后对报告中的每个数字进行溯源校验：能在注入数据中找到出处的标记为可溯源，未能匹配的提示人工核对，并统计数值可溯源率，作为抑制幻觉的定量依据。</w:t>
      </w:r>
    </w:p>
    <w:sectPr w:rsidR="00FC693F" w:rsidRPr="0006063C" w:rsidSect="00034616">
      <w:pgSz w:w="11906" w:h="16838"/>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