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黑体"/>
          <w:b/>
          <w:color w:val="1F3B63"/>
          <w:sz w:val="32"/>
        </w:rPr>
        <w:t>后端实现摘要</w:t>
      </w:r>
    </w:p>
    <w:p>
      <w:r>
        <w:rPr>
          <w:rFonts w:ascii="Calibri" w:hAnsi="Calibri" w:eastAsia="宋体"/>
          <w:b w:val="0"/>
          <w:sz w:val="21"/>
        </w:rPr>
        <w:t>&gt; 本文只记录后端关键实现、数据口径和验证状态。项目启动、配置与接口示例以 [README](../README.md) 和 [接口设计表](接口设计表.md) 为准。</w:t>
      </w:r>
    </w:p>
    <w:p>
      <w:pPr>
        <w:pStyle w:val="Heading2"/>
      </w:pPr>
      <w:r>
        <w:rPr>
          <w:rFonts w:ascii="Calibri" w:hAnsi="Calibri" w:eastAsia="黑体"/>
          <w:b/>
          <w:color w:val="1F3B63"/>
          <w:sz w:val="28"/>
        </w:rPr>
        <w:t>系统结构</w:t>
      </w:r>
    </w:p>
    <w:p>
      <w:r>
        <w:rPr>
          <w:rFonts w:ascii="Calibri" w:hAnsi="Calibri" w:eastAsia="宋体"/>
          <w:b w:val="0"/>
          <w:sz w:val="21"/>
        </w:rPr>
        <w:t>后端基于 Spring Boot 3.4、MyBatis 和 MySQL。财务链路为：原始报表数据 → 指标计算 → 同行业统计 → 查询/筛选；AI 链路为：行业对标数据 → 三层 Prompt → mock 或 OpenAI 兼容模型 → 报告留档。</w:t>
      </w:r>
    </w:p>
    <w:p>
      <w:r>
        <w:rPr>
          <w:rFonts w:ascii="Calibri" w:hAnsi="Calibri" w:eastAsia="宋体"/>
          <w:b w:val="0"/>
          <w:sz w:val="21"/>
        </w:rPr>
        <w:t>主要模块：</w:t>
      </w:r>
    </w:p>
    <w:p>
      <w:pPr>
        <w:pStyle w:val="ListBullet"/>
      </w:pPr>
      <w:r>
        <w:rPr>
          <w:rFonts w:ascii="Consolas" w:hAnsi="Consolas" w:eastAsia="宋体"/>
          <w:sz w:val="19"/>
        </w:rPr>
        <w:t>service/calc/IndicatorCalcEngine</w:t>
      </w:r>
      <w:r>
        <w:rPr>
          <w:rFonts w:ascii="Calibri" w:hAnsi="Calibri" w:eastAsia="宋体"/>
          <w:b w:val="0"/>
          <w:sz w:val="21"/>
        </w:rPr>
        <w:t>：计算财务比率、增长率和估值指标。</w:t>
      </w:r>
    </w:p>
    <w:p>
      <w:pPr>
        <w:pStyle w:val="ListBullet"/>
      </w:pPr>
      <w:r>
        <w:rPr>
          <w:rFonts w:ascii="Consolas" w:hAnsi="Consolas" w:eastAsia="宋体"/>
          <w:sz w:val="19"/>
        </w:rPr>
        <w:t>service/calc/BenchmarkCalculator</w:t>
      </w:r>
      <w:r>
        <w:rPr>
          <w:rFonts w:ascii="Calibri" w:hAnsi="Calibri" w:eastAsia="宋体"/>
          <w:b w:val="0"/>
          <w:sz w:val="21"/>
        </w:rPr>
        <w:t>：计算均值、中位数、分位数、标准差、百分位和方向排名。</w:t>
      </w:r>
    </w:p>
    <w:p>
      <w:pPr>
        <w:pStyle w:val="ListBullet"/>
      </w:pPr>
      <w:r>
        <w:rPr>
          <w:rFonts w:ascii="Consolas" w:hAnsi="Consolas" w:eastAsia="宋体"/>
          <w:sz w:val="19"/>
        </w:rPr>
        <w:t>service/impl/FinanceServiceImpl</w:t>
      </w:r>
      <w:r>
        <w:rPr>
          <w:rFonts w:ascii="Calibri" w:hAnsi="Calibri" w:eastAsia="宋体"/>
          <w:b w:val="0"/>
          <w:sz w:val="21"/>
        </w:rPr>
        <w:t>：读入原始科目、按年度计算并保存指标与行业基准。</w:t>
      </w:r>
    </w:p>
    <w:p>
      <w:pPr>
        <w:pStyle w:val="ListBullet"/>
      </w:pPr>
      <w:r>
        <w:rPr>
          <w:rFonts w:ascii="Consolas" w:hAnsi="Consolas" w:eastAsia="宋体"/>
          <w:sz w:val="19"/>
        </w:rPr>
        <w:t>service/impl/AiServiceImpl</w:t>
      </w:r>
      <w:r>
        <w:rPr>
          <w:rFonts w:ascii="Calibri" w:hAnsi="Calibri" w:eastAsia="宋体"/>
          <w:b w:val="0"/>
          <w:sz w:val="21"/>
        </w:rPr>
        <w:t>：组装数据上下文、调用模型或 mock，并保存报告。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 xml:space="preserve">九张业务表的定义见 </w:t>
      </w:r>
      <w:r>
        <w:rPr>
          <w:rFonts w:ascii="Consolas" w:hAnsi="Consolas" w:eastAsia="宋体"/>
          <w:sz w:val="19"/>
        </w:rPr>
        <w:t>sql/01_schema.sql</w:t>
      </w:r>
      <w:r>
        <w:rPr>
          <w:rFonts w:ascii="Calibri" w:hAnsi="Calibri" w:eastAsia="宋体"/>
          <w:b w:val="0"/>
          <w:sz w:val="21"/>
        </w:rPr>
        <w:t xml:space="preserve">；采集程序见 </w:t>
      </w:r>
      <w:r>
        <w:rPr>
          <w:rFonts w:ascii="Consolas" w:hAnsi="Consolas" w:eastAsia="宋体"/>
          <w:sz w:val="19"/>
        </w:rPr>
        <w:t>sql/fetch_real_data.py</w:t>
      </w:r>
      <w:r>
        <w:rPr>
          <w:rFonts w:ascii="Calibri" w:hAnsi="Calibri" w:eastAsia="宋体"/>
          <w:b w:val="0"/>
          <w:sz w:val="21"/>
        </w:rPr>
        <w:t>。</w:t>
      </w:r>
    </w:p>
    <w:p>
      <w:pPr>
        <w:pStyle w:val="Heading2"/>
      </w:pPr>
      <w:r>
        <w:rPr>
          <w:rFonts w:ascii="Calibri" w:hAnsi="Calibri" w:eastAsia="黑体"/>
          <w:b/>
          <w:color w:val="1F3B63"/>
          <w:sz w:val="28"/>
        </w:rPr>
        <w:t>指标口径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DEEAF6"/>
            </w:pPr>
            <w:r/>
            <w:r>
              <w:rPr>
                <w:rFonts w:ascii="Calibri" w:hAnsi="Calibri" w:eastAsia="宋体"/>
                <w:b/>
                <w:sz w:val="21"/>
              </w:rPr>
              <w:t>指标</w:t>
            </w:r>
          </w:p>
        </w:tc>
        <w:tc>
          <w:tcPr>
            <w:tcW w:type="dxa" w:w="4320"/>
          </w:tcPr>
          <w:p>
            <w:pPr>
              <w:shd w:val="clear" w:fill="DEEAF6"/>
            </w:pPr>
            <w:r/>
            <w:r>
              <w:rPr>
                <w:rFonts w:ascii="Calibri" w:hAnsi="Calibri" w:eastAsia="宋体"/>
                <w:b/>
                <w:sz w:val="21"/>
              </w:rPr>
              <w:t>当前计算口径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---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---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ROE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归母净利润 / 平均股东权益 × 100%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毛利率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(营业收入 - 营业成本) / 营业收入 × 100%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归母净利率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归母净利润 / 营业收入 × 100%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营收、利润增长率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(本期值 - 上期值) / 上期值绝对值 × 100%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资产负债率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总负债 / 总资产 × 100%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流动、速动比率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流动资产 / 流动负债；(流动资产 - 存货) / 流动负债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现金流质量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经营现金流净额 / 净利润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PE、PB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总市值 / 归母净利润；总市值 / 股东权益</w:t>
            </w:r>
          </w:p>
        </w:tc>
      </w:tr>
    </w:tbl>
    <w:p/>
    <w:p>
      <w:r>
        <w:rPr>
          <w:rFonts w:ascii="Calibri" w:hAnsi="Calibri" w:eastAsia="宋体"/>
          <w:b w:val="0"/>
          <w:sz w:val="21"/>
        </w:rPr>
        <w:t>行业基准按行业、年度、指标分组；分位数采用线性插值。每行业只有 8 家样本，研究结论应限定在当前样本，不外推为整个行业规律。</w:t>
      </w:r>
    </w:p>
    <w:p>
      <w:pPr>
        <w:pStyle w:val="Heading2"/>
      </w:pPr>
      <w:r>
        <w:rPr>
          <w:rFonts w:ascii="Calibri" w:hAnsi="Calibri" w:eastAsia="黑体"/>
          <w:b/>
          <w:color w:val="1F3B63"/>
          <w:sz w:val="28"/>
        </w:rPr>
        <w:t>数据注意事项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采集器现已区分缺失值和有效零值：缺失科目不入库并列入缺失清单，零值正常保留。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 xml:space="preserve">已提交的 </w:t>
      </w:r>
      <w:r>
        <w:rPr>
          <w:rFonts w:ascii="Consolas" w:hAnsi="Consolas" w:eastAsia="宋体"/>
          <w:sz w:val="19"/>
        </w:rPr>
        <w:t>sql/03_real_data.sql</w:t>
      </w:r>
      <w:r>
        <w:rPr>
          <w:rFonts w:ascii="Calibri" w:hAnsi="Calibri" w:eastAsia="宋体"/>
          <w:b w:val="0"/>
          <w:sz w:val="21"/>
        </w:rPr>
        <w:t xml:space="preserve"> 不会因采集器修复自动更新。重新生成前先备份并检查缺失清单；生成的 SQL 会清理原始数据、估值快照、指标、基准和报告表。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年度股本缺失时估值采集可能使用当前股本近似值。历史 PE/PB 在核实历史股本前不应用作论文主结果。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 xml:space="preserve">当前 ROE 使用 </w:t>
      </w:r>
      <w:r>
        <w:rPr>
          <w:rFonts w:ascii="Consolas" w:hAnsi="Consolas" w:eastAsia="宋体"/>
          <w:sz w:val="19"/>
        </w:rPr>
        <w:t>total_equity</w:t>
      </w:r>
      <w:r>
        <w:rPr>
          <w:rFonts w:ascii="Calibri" w:hAnsi="Calibri" w:eastAsia="宋体"/>
          <w:b w:val="0"/>
          <w:sz w:val="21"/>
        </w:rPr>
        <w:t>。正式研究前须核实其是否为归母股东权益；若无法确认，应披露口径并将 ROE 作为受限指标。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指标计算遇到缺失输入或零分母时不产出该指标，不以零代替。</w:t>
      </w:r>
    </w:p>
    <w:p>
      <w:pPr>
        <w:pStyle w:val="Heading2"/>
      </w:pPr>
      <w:r>
        <w:rPr>
          <w:rFonts w:ascii="Calibri" w:hAnsi="Calibri" w:eastAsia="黑体"/>
          <w:b/>
          <w:color w:val="1F3B63"/>
          <w:sz w:val="28"/>
        </w:rPr>
        <w:t>验证状态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>cd backend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>.\mvnw.cmd -o -Dtest=CalculationEnginesTest test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>py -3 -m unittest discover -s tests -v</w:t>
      </w:r>
    </w:p>
    <w:p>
      <w:r>
        <w:rPr>
          <w:rFonts w:ascii="Calibri" w:hAnsi="Calibri" w:eastAsia="宋体"/>
          <w:b w:val="0"/>
          <w:sz w:val="21"/>
        </w:rPr>
        <w:t>当前测试覆盖指标公式、零分母、行业统计、采集缺失值处理和数值引用筛查。它们不等同于全接口集成测试；论文数据仍须经年报抽查与独立标注。研究流程见 [真实数据论文研究指南](Prompt工程深化研究与系统扩展方案.md)。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