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后端实现摘要</w:t>
      </w:r>
    </w:p>
    <w:p>
      <w:r>
        <w:rPr>
          <w:rFonts w:ascii="Calibri" w:hAnsi="Calibri" w:eastAsia="宋体"/>
          <w:b w:val="0"/>
          <w:sz w:val="21"/>
        </w:rPr>
        <w:t>&gt; 本文只记录后端关键实现、数据口径和验证状态。项目启动、配置与接口示例以 [README](../README.md) 和 [接口设计表](接口设计表.md) 为准。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系统结构</w:t>
      </w:r>
    </w:p>
    <w:p>
      <w:r>
        <w:rPr>
          <w:rFonts w:ascii="Calibri" w:hAnsi="Calibri" w:eastAsia="宋体"/>
          <w:b w:val="0"/>
          <w:sz w:val="21"/>
        </w:rPr>
        <w:t>后端基于 Spring Boot 3.4、MyBatis 和 MySQL。财务链路为：原始报表数据 → 指标计算 → 同行业统计 → 查询/筛选；AI 链路为：行业对标数据 → 三层 Prompt → mock 或 OpenAI 兼容模型 → 报告留档。</w:t>
      </w:r>
    </w:p>
    <w:p>
      <w:r>
        <w:rPr>
          <w:rFonts w:ascii="Calibri" w:hAnsi="Calibri" w:eastAsia="宋体"/>
          <w:b w:val="0"/>
          <w:sz w:val="21"/>
        </w:rPr>
        <w:t>主要模块：</w:t>
      </w:r>
    </w:p>
    <w:p>
      <w:pPr>
        <w:pStyle w:val="ListBullet"/>
      </w:pPr>
      <w:r>
        <w:rPr>
          <w:rFonts w:ascii="Consolas" w:hAnsi="Consolas" w:eastAsia="宋体"/>
          <w:sz w:val="19"/>
        </w:rPr>
        <w:t>service/calc/IndicatorCalcEngine</w:t>
      </w:r>
      <w:r>
        <w:rPr>
          <w:rFonts w:ascii="Calibri" w:hAnsi="Calibri" w:eastAsia="宋体"/>
          <w:b w:val="0"/>
          <w:sz w:val="21"/>
        </w:rPr>
        <w:t>：计算财务比率、增长率和估值指标。</w:t>
      </w:r>
    </w:p>
    <w:p>
      <w:pPr>
        <w:pStyle w:val="ListBullet"/>
      </w:pPr>
      <w:r>
        <w:rPr>
          <w:rFonts w:ascii="Consolas" w:hAnsi="Consolas" w:eastAsia="宋体"/>
          <w:sz w:val="19"/>
        </w:rPr>
        <w:t>service/calc/BenchmarkCalculator</w:t>
      </w:r>
      <w:r>
        <w:rPr>
          <w:rFonts w:ascii="Calibri" w:hAnsi="Calibri" w:eastAsia="宋体"/>
          <w:b w:val="0"/>
          <w:sz w:val="21"/>
        </w:rPr>
        <w:t>：计算均值、中位数、分位数、标准差、百分位和方向排名。</w:t>
      </w:r>
    </w:p>
    <w:p>
      <w:pPr>
        <w:pStyle w:val="ListBullet"/>
      </w:pPr>
      <w:r>
        <w:rPr>
          <w:rFonts w:ascii="Consolas" w:hAnsi="Consolas" w:eastAsia="宋体"/>
          <w:sz w:val="19"/>
        </w:rPr>
        <w:t>service/impl/FinanceServiceImpl</w:t>
      </w:r>
      <w:r>
        <w:rPr>
          <w:rFonts w:ascii="Calibri" w:hAnsi="Calibri" w:eastAsia="宋体"/>
          <w:b w:val="0"/>
          <w:sz w:val="21"/>
        </w:rPr>
        <w:t>：读入原始科目、按年度计算并保存指标与行业基准。</w:t>
      </w:r>
    </w:p>
    <w:p>
      <w:pPr>
        <w:pStyle w:val="ListBullet"/>
      </w:pPr>
      <w:r>
        <w:rPr>
          <w:rFonts w:ascii="Consolas" w:hAnsi="Consolas" w:eastAsia="宋体"/>
          <w:sz w:val="19"/>
        </w:rPr>
        <w:t>service/impl/AiServiceImpl</w:t>
      </w:r>
      <w:r>
        <w:rPr>
          <w:rFonts w:ascii="Calibri" w:hAnsi="Calibri" w:eastAsia="宋体"/>
          <w:b w:val="0"/>
          <w:sz w:val="21"/>
        </w:rPr>
        <w:t>：组装数据上下文、调用模型或 mock，并保存报告。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九张业务表的定义见 </w:t>
      </w:r>
      <w:r>
        <w:rPr>
          <w:rFonts w:ascii="Consolas" w:hAnsi="Consolas" w:eastAsia="宋体"/>
          <w:sz w:val="19"/>
        </w:rPr>
        <w:t>sql/01_schema.sql</w:t>
      </w:r>
      <w:r>
        <w:rPr>
          <w:rFonts w:ascii="Calibri" w:hAnsi="Calibri" w:eastAsia="宋体"/>
          <w:b w:val="0"/>
          <w:sz w:val="21"/>
        </w:rPr>
        <w:t xml:space="preserve">；采集程序见 </w:t>
      </w:r>
      <w:r>
        <w:rPr>
          <w:rFonts w:ascii="Consolas" w:hAnsi="Consolas" w:eastAsia="宋体"/>
          <w:sz w:val="19"/>
        </w:rPr>
        <w:t>sql/fetch_real_data.py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指标口径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指标</w:t>
            </w:r>
          </w:p>
        </w:tc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当前计算口径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ROE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归母净利润 / 平均</w:t>
            </w:r>
            <w:r>
              <w:rPr>
                <w:rFonts w:ascii="Calibri" w:hAnsi="Calibri" w:eastAsia="宋体"/>
                <w:b/>
                <w:sz w:val="21"/>
              </w:rPr>
              <w:t>归属于母公司股东的权益</w:t>
            </w:r>
            <w:r>
              <w:rPr>
                <w:rFonts w:ascii="Calibri" w:hAnsi="Calibri" w:eastAsia="宋体"/>
                <w:b w:val="0"/>
                <w:sz w:val="21"/>
              </w:rPr>
              <w:t xml:space="preserve"> ×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毛利率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(营业收入 - 营业成本) / 营业收入 ×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归母净利率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归母净利润 / 营业收入 ×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营收、利润增长率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(本期值 - 上期值) / 上期值绝对值 ×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资产负债率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总负债 / 总资产 ×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流动、速动比率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流动资产 / 流动负债；(流动资产 - 存货) / 流动负债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现金流质量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经营现金流净额 / 净利润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PE、PB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 xml:space="preserve">总市值 / 归母净利润；总市值 / </w:t>
            </w:r>
            <w:r>
              <w:rPr>
                <w:rFonts w:ascii="Calibri" w:hAnsi="Calibri" w:eastAsia="宋体"/>
                <w:b/>
                <w:sz w:val="21"/>
              </w:rPr>
              <w:t>归属于母公司股东的权益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行业基准按行业、年度、指标分组；分位数采用线性插值。每行业只有 8 家样本，研究结论应限定在当前样本，不外推为整个行业规律。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ROE / PB 分母口径（2026-10 修正）</w:t>
      </w:r>
    </w:p>
    <w:p>
      <w:r>
        <w:rPr>
          <w:rFonts w:ascii="Calibri" w:hAnsi="Calibri" w:eastAsia="宋体"/>
          <w:b w:val="0"/>
          <w:sz w:val="21"/>
        </w:rPr>
        <w:t>财务数据中有两个权益科目，</w:t>
      </w:r>
      <w:r>
        <w:rPr>
          <w:rFonts w:ascii="Calibri" w:hAnsi="Calibri" w:eastAsia="宋体"/>
          <w:b/>
          <w:sz w:val="21"/>
        </w:rPr>
        <w:t>不可混用</w:t>
      </w:r>
      <w:r>
        <w:rPr>
          <w:rFonts w:ascii="Calibri" w:hAnsi="Calibri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科目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item_id</w:t>
            </w:r>
          </w:p>
        </w:tc>
        <w:tc>
          <w:tcPr>
            <w:tcW w:type="dxa" w:w="288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total_equity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所有者权益合计 = 归母权益 + 少数股东权益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宋体"/>
                <w:sz w:val="19"/>
              </w:rPr>
              <w:t>total_equity_parent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归属于母公司股东的权益（归母权益）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 xml:space="preserve">修正前 ROE/PB 误用 </w:t>
      </w:r>
      <w:r>
        <w:rPr>
          <w:rFonts w:ascii="Consolas" w:hAnsi="Consolas" w:eastAsia="宋体"/>
          <w:sz w:val="19"/>
        </w:rPr>
        <w:t>total_equity</w:t>
      </w:r>
      <w:r>
        <w:rPr>
          <w:rFonts w:ascii="Calibri" w:hAnsi="Calibri" w:eastAsia="宋体"/>
          <w:b w:val="0"/>
          <w:sz w:val="21"/>
        </w:rPr>
        <w:t>（合计），而分子是"归母"口径，分子分母不匹配，会</w:t>
      </w:r>
      <w:r>
        <w:rPr>
          <w:rFonts w:ascii="Calibri" w:hAnsi="Calibri" w:eastAsia="宋体"/>
          <w:b/>
          <w:sz w:val="21"/>
        </w:rPr>
        <w:t>系统性低估</w:t>
      </w:r>
      <w:r>
        <w:rPr>
          <w:rFonts w:ascii="Calibri" w:hAnsi="Calibri" w:eastAsia="宋体"/>
          <w:b w:val="0"/>
          <w:sz w:val="21"/>
        </w:rPr>
        <w:t xml:space="preserve"> ROE/PB。</w:t>
      </w:r>
    </w:p>
    <w:p>
      <w:r>
        <w:rPr>
          <w:rFonts w:ascii="Calibri" w:hAnsi="Calibri" w:eastAsia="宋体"/>
          <w:b w:val="0"/>
          <w:sz w:val="21"/>
        </w:rPr>
        <w:t xml:space="preserve">修正后统一使用 </w:t>
      </w:r>
      <w:r>
        <w:rPr>
          <w:rFonts w:ascii="Consolas" w:hAnsi="Consolas" w:eastAsia="宋体"/>
          <w:sz w:val="19"/>
        </w:rPr>
        <w:t>total_equity_parent</w:t>
      </w:r>
      <w:r>
        <w:rPr>
          <w:rFonts w:ascii="Calibri" w:hAnsi="Calibri" w:eastAsia="宋体"/>
          <w:b w:val="0"/>
          <w:sz w:val="21"/>
        </w:rPr>
        <w:t>。实测影响（24 家公司 2021–2025 共 120 个公司年度）：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指标</w:t>
            </w:r>
          </w:p>
        </w:tc>
        <w:tc>
          <w:tcPr>
            <w:tcW w:type="dxa" w:w="144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平均变化</w:t>
            </w:r>
          </w:p>
        </w:tc>
        <w:tc>
          <w:tcPr>
            <w:tcW w:type="dxa" w:w="144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中位变化</w:t>
            </w:r>
          </w:p>
        </w:tc>
        <w:tc>
          <w:tcPr>
            <w:tcW w:type="dxa" w:w="144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最大变化</w:t>
            </w:r>
          </w:p>
        </w:tc>
        <w:tc>
          <w:tcPr>
            <w:tcW w:type="dxa" w:w="144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相对变化 &gt;5% 的样本</w:t>
            </w:r>
          </w:p>
        </w:tc>
        <w:tc>
          <w:tcPr>
            <w:tcW w:type="dxa" w:w="144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相对变化最大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ROE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+0.72 pp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+0.17 pp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+5.20 pp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23 个（19%）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22.9%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+0.22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+0.07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+2.25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25 个（21%）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22.9%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>偏差方向恒为低估（因合计权益 ≥ 归母权益），且与公司少数股东权益规模正相关：</w:t>
      </w:r>
    </w:p>
    <w:p>
      <w:r>
        <w:rPr>
          <w:rFonts w:ascii="Calibri" w:hAnsi="Calibri" w:eastAsia="宋体"/>
          <w:b w:val="0"/>
          <w:sz w:val="21"/>
        </w:rPr>
        <w:t>立讯精密、复星医药、迈瑞医疗、生益科技受影响最大；今世缘、云南白药、工业富联等几乎不受影响。</w:t>
      </w:r>
    </w:p>
    <w:p>
      <w:r>
        <w:rPr>
          <w:rFonts w:ascii="Calibri" w:hAnsi="Calibri" w:eastAsia="宋体"/>
          <w:b w:val="0"/>
          <w:sz w:val="21"/>
        </w:rPr>
        <w:t xml:space="preserve">&gt; 该口径修正由 </w:t>
      </w:r>
      <w:r>
        <w:rPr>
          <w:rFonts w:ascii="Consolas" w:hAnsi="Consolas" w:eastAsia="宋体"/>
          <w:sz w:val="19"/>
        </w:rPr>
        <w:t>CalculationEnginesTest#roeAndPbUseParentEquityInsteadOfTotalEquity</w:t>
      </w:r>
      <w:r>
        <w:rPr>
          <w:rFonts w:ascii="Calibri" w:hAnsi="Calibri" w:eastAsia="宋体"/>
          <w:b w:val="0"/>
          <w:sz w:val="21"/>
        </w:rPr>
        <w:t xml:space="preserve"> 守护，防止回退。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数据注意事项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采集器现已区分缺失值和有效零值：缺失科目不入库并列入缺失清单，零值正常保留。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已提交的 </w:t>
      </w:r>
      <w:r>
        <w:rPr>
          <w:rFonts w:ascii="Consolas" w:hAnsi="Consolas" w:eastAsia="宋体"/>
          <w:sz w:val="19"/>
        </w:rPr>
        <w:t>sql/03_real_data.sql</w:t>
      </w:r>
      <w:r>
        <w:rPr>
          <w:rFonts w:ascii="Calibri" w:hAnsi="Calibri" w:eastAsia="宋体"/>
          <w:b w:val="0"/>
          <w:sz w:val="21"/>
        </w:rPr>
        <w:t xml:space="preserve"> 不会因采集器修复自动更新。重新生成前先备份并检查缺失清单；生成的 SQL 会清理原始数据、估值快照、指标、基准和报告表。</w:t>
      </w:r>
    </w:p>
    <w:p>
      <w:r>
        <w:rPr>
          <w:rFonts w:ascii="Calibri" w:hAnsi="Calibri" w:eastAsia="宋体"/>
          <w:b w:val="0"/>
          <w:sz w:val="21"/>
        </w:rPr>
        <w:t xml:space="preserve">  采集器输出路径现可用 </w:t>
      </w:r>
      <w:r>
        <w:rPr>
          <w:rFonts w:ascii="Consolas" w:hAnsi="Consolas" w:eastAsia="宋体"/>
          <w:sz w:val="19"/>
        </w:rPr>
        <w:t>--out</w:t>
      </w:r>
      <w:r>
        <w:rPr>
          <w:rFonts w:ascii="Calibri" w:hAnsi="Calibri" w:eastAsia="宋体"/>
          <w:b w:val="0"/>
          <w:sz w:val="21"/>
        </w:rPr>
        <w:t xml:space="preserve"> 指定，建议先输出到临时文件核对差异再替换。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历史股本已核实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onsolas" w:hAnsi="Consolas" w:eastAsia="宋体"/>
          <w:sz w:val="19"/>
        </w:rPr>
        <w:t>market_cap = 当年年末收盘价 × 当年年报股本</w:t>
      </w:r>
      <w:r>
        <w:rPr>
          <w:rFonts w:ascii="Calibri" w:hAnsi="Calibri" w:eastAsia="宋体"/>
          <w:b w:val="0"/>
          <w:sz w:val="21"/>
        </w:rPr>
        <w:t xml:space="preserve">。用 </w:t>
      </w:r>
      <w:r>
        <w:rPr>
          <w:rFonts w:ascii="Consolas" w:hAnsi="Consolas" w:eastAsia="宋体"/>
          <w:sz w:val="19"/>
        </w:rPr>
        <w:t>market_cap / close_price</w:t>
      </w:r>
    </w:p>
    <w:p>
      <w:r>
        <w:rPr>
          <w:rFonts w:ascii="Calibri" w:hAnsi="Calibri" w:eastAsia="宋体"/>
          <w:b w:val="0"/>
          <w:sz w:val="21"/>
        </w:rPr>
        <w:t xml:space="preserve">  反推的隐含股本与东方财富接口 </w:t>
      </w:r>
      <w:r>
        <w:rPr>
          <w:rFonts w:ascii="Consolas" w:hAnsi="Consolas" w:eastAsia="宋体"/>
          <w:sz w:val="19"/>
        </w:rPr>
        <w:t>SHARE_CAPITAL</w:t>
      </w:r>
      <w:r>
        <w:rPr>
          <w:rFonts w:ascii="Calibri" w:hAnsi="Calibri" w:eastAsia="宋体"/>
          <w:b w:val="0"/>
          <w:sz w:val="21"/>
        </w:rPr>
        <w:t xml:space="preserve"> 逐年吻合（如中际旭创 8.001→8.028→11.212 亿股、</w:t>
      </w:r>
    </w:p>
    <w:p>
      <w:r>
        <w:rPr>
          <w:rFonts w:ascii="Calibri" w:hAnsi="Calibri" w:eastAsia="宋体"/>
          <w:b w:val="0"/>
          <w:sz w:val="21"/>
        </w:rPr>
        <w:t xml:space="preserve">  云南白药 12.83→17.97 亿股、智飞生物 16.00→24.00 亿股），未走"当前股本近似"降级路径。</w:t>
      </w:r>
    </w:p>
    <w:p>
      <w:r>
        <w:rPr>
          <w:rFonts w:ascii="Calibri" w:hAnsi="Calibri" w:eastAsia="宋体"/>
          <w:b w:val="0"/>
          <w:sz w:val="21"/>
        </w:rPr>
        <w:t xml:space="preserve">  因此</w:t>
      </w:r>
      <w:r>
        <w:rPr>
          <w:rFonts w:ascii="Calibri" w:hAnsi="Calibri" w:eastAsia="宋体"/>
          <w:b/>
          <w:sz w:val="21"/>
        </w:rPr>
        <w:t>历史 PE/PB 可以作为论文结果使用</w:t>
      </w:r>
      <w:r>
        <w:rPr>
          <w:rFonts w:ascii="Calibri" w:hAnsi="Calibri" w:eastAsia="宋体"/>
          <w:b w:val="0"/>
          <w:sz w:val="21"/>
        </w:rPr>
        <w:t>。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指标计算遇到缺失输入或零分母时不产出该指标，不以零代替；ROE/PB 缺少归母权益时同样不产出。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采集器现共采集 </w:t>
      </w:r>
      <w:r>
        <w:rPr>
          <w:rFonts w:ascii="Calibri" w:hAnsi="Calibri" w:eastAsia="宋体"/>
          <w:b/>
          <w:sz w:val="21"/>
        </w:rPr>
        <w:t>23 个报表科目</w:t>
      </w:r>
      <w:r>
        <w:rPr>
          <w:rFonts w:ascii="Calibri" w:hAnsi="Calibri" w:eastAsia="宋体"/>
          <w:b w:val="0"/>
          <w:sz w:val="21"/>
        </w:rPr>
        <w:t>（新增第 23 项"归属于母公司股东的权益"）。修改采集字段后需重跑采集与</w:t>
      </w:r>
    </w:p>
    <w:p>
      <w:r>
        <w:rPr>
          <w:rFonts w:ascii="Calibri" w:hAnsi="Calibri" w:eastAsia="宋体"/>
          <w:b w:val="0"/>
          <w:sz w:val="21"/>
        </w:rPr>
        <w:t xml:space="preserve">  </w:t>
      </w:r>
      <w:r>
        <w:rPr>
          <w:rFonts w:ascii="Consolas" w:hAnsi="Consolas" w:eastAsia="宋体"/>
          <w:sz w:val="19"/>
        </w:rPr>
        <w:t>POST /api/finance/recalc</w:t>
      </w:r>
      <w:r>
        <w:rPr>
          <w:rFonts w:ascii="Calibri" w:hAnsi="Calibri" w:eastAsia="宋体"/>
          <w:b w:val="0"/>
          <w:sz w:val="21"/>
        </w:rPr>
        <w:t xml:space="preserve">，否则 </w:t>
      </w:r>
      <w:r>
        <w:rPr>
          <w:rFonts w:ascii="Consolas" w:hAnsi="Consolas" w:eastAsia="宋体"/>
          <w:sz w:val="19"/>
        </w:rPr>
        <w:t>financial_indicator</w:t>
      </w:r>
      <w:r>
        <w:rPr>
          <w:rFonts w:ascii="Calibri" w:hAnsi="Calibri" w:eastAsia="宋体"/>
          <w:b w:val="0"/>
          <w:sz w:val="21"/>
        </w:rPr>
        <w:t xml:space="preserve"> 与原始数据会不一致。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已知历史产物</w:t>
      </w:r>
      <w:r>
        <w:rPr>
          <w:rFonts w:ascii="Calibri" w:hAnsi="Calibri" w:eastAsia="宋体"/>
          <w:b w:val="0"/>
          <w:sz w:val="21"/>
        </w:rPr>
        <w:t>：</w:t>
      </w:r>
      <w:r>
        <w:rPr>
          <w:rFonts w:ascii="Consolas" w:hAnsi="Consolas" w:eastAsia="宋体"/>
          <w:sz w:val="19"/>
        </w:rPr>
        <w:t>sql/03_real_data.sql</w:t>
      </w:r>
      <w:r>
        <w:rPr>
          <w:rFonts w:ascii="Calibri" w:hAnsi="Calibri" w:eastAsia="宋体"/>
          <w:b w:val="0"/>
          <w:sz w:val="21"/>
        </w:rPr>
        <w:t xml:space="preserve"> 由采集器修复前生成，其中包含 194 行"接口未返回即写 0"的记录</w:t>
      </w:r>
    </w:p>
    <w:p>
      <w:r>
        <w:rPr>
          <w:rFonts w:ascii="Calibri" w:hAnsi="Calibri" w:eastAsia="宋体"/>
          <w:b w:val="0"/>
          <w:sz w:val="21"/>
        </w:rPr>
        <w:t xml:space="preserve">  （交易性金融资产 120 行、短期借款 42 行、应收票据 31 行、应收账款 1 行）。这 4 个科目</w:t>
      </w:r>
      <w:r>
        <w:rPr>
          <w:rFonts w:ascii="Calibri" w:hAnsi="Calibri" w:eastAsia="宋体"/>
          <w:b/>
          <w:sz w:val="21"/>
        </w:rPr>
        <w:t>不参与任何指标计算</w:t>
      </w:r>
      <w:r>
        <w:rPr>
          <w:rFonts w:ascii="Calibri" w:hAnsi="Calibri" w:eastAsia="宋体"/>
          <w:b w:val="0"/>
          <w:sz w:val="21"/>
        </w:rPr>
        <w:t>，</w:t>
      </w:r>
    </w:p>
    <w:p>
      <w:r>
        <w:rPr>
          <w:rFonts w:ascii="Calibri" w:hAnsi="Calibri" w:eastAsia="宋体"/>
          <w:b w:val="0"/>
          <w:sz w:val="21"/>
        </w:rPr>
        <w:t xml:space="preserve">  对指标、行业基准与 AI 报告无影响；如后续整体重采，这些行会自然消失。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验证状态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cd backend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.\mvnw.cmd -o -Dtest=CalculationEnginesTest test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py -3 -m unittest discover -s tests -v</w:t>
      </w:r>
    </w:p>
    <w:p>
      <w:r>
        <w:rPr>
          <w:rFonts w:ascii="Calibri" w:hAnsi="Calibri" w:eastAsia="宋体"/>
          <w:b w:val="0"/>
          <w:sz w:val="21"/>
        </w:rPr>
        <w:t>当前测试覆盖指标公式、零分母、行业统计、采集缺失值处理和数值引用筛查。它们不等同于全接口集成测试；论文数据仍须经年报抽查与独立标注。研究流程见 [真实数据论文研究指南](Prompt工程深化研究与系统扩展方案.md)。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