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黑体"/>
          <w:b/>
          <w:color w:val="1F3B63"/>
          <w:sz w:val="32"/>
        </w:rPr>
        <w:t>后端接口设计表</w:t>
      </w:r>
    </w:p>
    <w:p>
      <w:r>
        <w:rPr>
          <w:rFonts w:ascii="Calibri" w:hAnsi="Calibri" w:eastAsia="宋体"/>
          <w:b w:val="0"/>
          <w:sz w:val="21"/>
        </w:rPr>
        <w:t>&gt; 系统: 基于 Prompt 工程的上市公司财报解读与行业对标系统</w:t>
      </w:r>
    </w:p>
    <w:p>
      <w:r>
        <w:rPr>
          <w:rFonts w:ascii="Calibri" w:hAnsi="Calibri" w:eastAsia="宋体"/>
          <w:b w:val="0"/>
          <w:sz w:val="21"/>
        </w:rPr>
        <w:t xml:space="preserve">&gt; 端口: 8091 | 统一前缀: </w:t>
      </w:r>
      <w:r>
        <w:rPr>
          <w:rFonts w:ascii="Consolas" w:hAnsi="Consolas" w:eastAsia="宋体"/>
          <w:sz w:val="19"/>
        </w:rPr>
        <w:t>/api</w:t>
      </w:r>
      <w:r>
        <w:rPr>
          <w:rFonts w:ascii="Calibri" w:hAnsi="Calibri" w:eastAsia="宋体"/>
          <w:b w:val="0"/>
          <w:sz w:val="21"/>
        </w:rPr>
        <w:t xml:space="preserve"> | 统一响应: </w:t>
      </w:r>
      <w:r>
        <w:rPr>
          <w:rFonts w:ascii="Consolas" w:hAnsi="Consolas" w:eastAsia="宋体"/>
          <w:sz w:val="19"/>
        </w:rPr>
        <w:t>{"code":"0","message":"success","data":{...}}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通用说明</w:t>
      </w:r>
    </w:p>
    <w:p>
      <w:pPr>
        <w:pStyle w:val="ListBullet"/>
      </w:pPr>
      <w:r>
        <w:rPr>
          <w:rFonts w:ascii="Calibri" w:hAnsi="Calibri" w:eastAsia="宋体"/>
          <w:b/>
          <w:sz w:val="21"/>
        </w:rPr>
        <w:t>code = "0"</w:t>
      </w:r>
      <w:r>
        <w:rPr>
          <w:rFonts w:ascii="Calibri" w:hAnsi="Calibri" w:eastAsia="宋体"/>
          <w:b w:val="0"/>
          <w:sz w:val="21"/>
        </w:rPr>
        <w:t xml:space="preserve"> 表示成功; 非 0 为业务错误码(见 </w:t>
      </w:r>
      <w:r>
        <w:rPr>
          <w:rFonts w:ascii="Consolas" w:hAnsi="Consolas" w:eastAsia="宋体"/>
          <w:sz w:val="19"/>
        </w:rPr>
        <w:t>com.fycx.common.ErrorCodeEnums</w:t>
      </w:r>
      <w:r>
        <w:rPr>
          <w:rFonts w:ascii="Calibri" w:hAnsi="Calibri" w:eastAsia="宋体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全部参数/返回均为 JSON(UTF-8), 金额单位: 元, 指标单位见各指标定义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财务接口需先执行 </w:t>
      </w:r>
      <w:r>
        <w:rPr>
          <w:rFonts w:ascii="Consolas" w:hAnsi="Consolas" w:eastAsia="宋体"/>
          <w:sz w:val="19"/>
        </w:rPr>
        <w:t>POST /api/finance/recalc</w:t>
      </w:r>
      <w:r>
        <w:rPr>
          <w:rFonts w:ascii="Calibri" w:hAnsi="Calibri" w:eastAsia="宋体"/>
          <w:b w:val="0"/>
          <w:sz w:val="21"/>
        </w:rPr>
        <w:t xml:space="preserve"> 生成指标与对标数据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前端调用示例见 </w:t>
      </w:r>
      <w:r>
        <w:rPr>
          <w:rFonts w:ascii="Consolas" w:hAnsi="Consolas" w:eastAsia="宋体"/>
          <w:sz w:val="19"/>
        </w:rPr>
        <w:t>frontend/src/api.js</w:t>
      </w:r>
      <w:r>
        <w:rPr>
          <w:rFonts w:ascii="Calibri" w:hAnsi="Calibri" w:eastAsia="宋体"/>
          <w:b w:val="0"/>
          <w:sz w:val="21"/>
        </w:rPr>
        <w:t xml:space="preserve">; 前端通过 Vite 代理将 </w:t>
      </w:r>
      <w:r>
        <w:rPr>
          <w:rFonts w:ascii="Consolas" w:hAnsi="Consolas" w:eastAsia="宋体"/>
          <w:sz w:val="19"/>
        </w:rPr>
        <w:t>/api</w:t>
      </w:r>
      <w:r>
        <w:rPr>
          <w:rFonts w:ascii="Calibri" w:hAnsi="Calibri" w:eastAsia="宋体"/>
          <w:b w:val="0"/>
          <w:sz w:val="21"/>
        </w:rPr>
        <w:t xml:space="preserve"> 转发到本服务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1. 财务模块 `/api/finance`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1.1 行业列表</w:t>
      </w:r>
    </w:p>
    <w:p>
      <w:r>
        <w:rPr>
          <w:rFonts w:ascii="Consolas" w:hAnsi="Consolas" w:eastAsia="宋体"/>
          <w:sz w:val="19"/>
        </w:rPr>
        <w:t>GET /api/finance/industries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// 返回 data: [{"industryId":3,"industryCode":"C15","industryName":"酒、饮料和精制茶制造业","companyCount":8}]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1.2 指标元数据</w:t>
      </w:r>
    </w:p>
    <w:p>
      <w:r>
        <w:rPr>
          <w:rFonts w:ascii="Consolas" w:hAnsi="Consolas" w:eastAsia="宋体"/>
          <w:sz w:val="19"/>
        </w:rPr>
        <w:t>GET /api/finance/indicators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// 返回 data: [{"code":"roe","name":"净资产收益率(ROE)","dimension":"盈利能力","unit":"%","betterDirection":"higher_better"}]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返回全部 12 项指标的</w:t>
      </w:r>
      <w:r>
        <w:rPr>
          <w:rFonts w:ascii="Calibri" w:hAnsi="Calibri" w:eastAsia="宋体"/>
          <w:b/>
          <w:sz w:val="21"/>
        </w:rPr>
        <w:t>元数据</w:t>
      </w:r>
      <w:r>
        <w:rPr>
          <w:rFonts w:ascii="Calibri" w:hAnsi="Calibri" w:eastAsia="宋体"/>
          <w:b w:val="0"/>
          <w:sz w:val="21"/>
        </w:rPr>
        <w:t>(不含数值), 供前端渲染指标下拉、指标字典与图表轴</w:t>
      </w:r>
    </w:p>
    <w:p>
      <w:pPr>
        <w:pStyle w:val="ListBullet"/>
      </w:pPr>
      <w:r>
        <w:rPr>
          <w:rFonts w:ascii="Consolas" w:hAnsi="Consolas" w:eastAsia="宋体"/>
          <w:sz w:val="19"/>
        </w:rPr>
        <w:t>dimension</w:t>
      </w:r>
      <w:r>
        <w:rPr>
          <w:rFonts w:ascii="Calibri" w:hAnsi="Calibri" w:eastAsia="宋体"/>
          <w:b w:val="0"/>
          <w:sz w:val="21"/>
        </w:rPr>
        <w:t>: 盈利能力 / 成长性 / 财务风险 / 盈利质量 / 每股指标 / 估值</w:t>
      </w:r>
    </w:p>
    <w:p>
      <w:pPr>
        <w:pStyle w:val="ListBullet"/>
      </w:pPr>
      <w:r>
        <w:rPr>
          <w:rFonts w:ascii="Consolas" w:hAnsi="Consolas" w:eastAsia="宋体"/>
          <w:sz w:val="19"/>
        </w:rPr>
        <w:t>betterDirection</w:t>
      </w:r>
      <w:r>
        <w:rPr>
          <w:rFonts w:ascii="Calibri" w:hAnsi="Calibri" w:eastAsia="宋体"/>
          <w:b w:val="0"/>
          <w:sz w:val="21"/>
        </w:rPr>
        <w:t xml:space="preserve">: </w:t>
      </w:r>
      <w:r>
        <w:rPr>
          <w:rFonts w:ascii="Consolas" w:hAnsi="Consolas" w:eastAsia="宋体"/>
          <w:sz w:val="19"/>
        </w:rPr>
        <w:t>higher_better</w:t>
      </w:r>
      <w:r>
        <w:rPr>
          <w:rFonts w:ascii="Calibri" w:hAnsi="Calibri" w:eastAsia="宋体"/>
          <w:b w:val="0"/>
          <w:sz w:val="21"/>
        </w:rPr>
        <w:t xml:space="preserve">(越高越好) / </w:t>
      </w:r>
      <w:r>
        <w:rPr>
          <w:rFonts w:ascii="Consolas" w:hAnsi="Consolas" w:eastAsia="宋体"/>
          <w:sz w:val="19"/>
        </w:rPr>
        <w:t>lower_better</w:t>
      </w:r>
      <w:r>
        <w:rPr>
          <w:rFonts w:ascii="Calibri" w:hAnsi="Calibri" w:eastAsia="宋体"/>
          <w:b w:val="0"/>
          <w:sz w:val="21"/>
        </w:rPr>
        <w:t>(越低越好)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1.3 公司分页查询</w:t>
      </w:r>
    </w:p>
    <w:p>
      <w:r>
        <w:rPr>
          <w:rFonts w:ascii="Consolas" w:hAnsi="Consolas" w:eastAsia="宋体"/>
          <w:sz w:val="19"/>
        </w:rPr>
        <w:t>GET /api/finance/companies?keyword=&amp;industryId=&amp;status=&amp;page=1&amp;size=10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参数</w:t>
            </w:r>
          </w:p>
        </w:tc>
        <w:tc>
          <w:tcPr>
            <w:tcW w:type="dxa" w:w="216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类型</w:t>
            </w:r>
          </w:p>
        </w:tc>
        <w:tc>
          <w:tcPr>
            <w:tcW w:type="dxa" w:w="216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必填</w:t>
            </w:r>
          </w:p>
        </w:tc>
        <w:tc>
          <w:tcPr>
            <w:tcW w:type="dxa" w:w="216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keyword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股票代码/简称/全称模糊匹配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industryId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行业过滤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默认 1(正常)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page / size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分页, 默认 1/10, size≤100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{total, page, size, list:[CompanyVO]}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1.4 公司详情</w:t>
      </w:r>
    </w:p>
    <w:p>
      <w:r>
        <w:rPr>
          <w:rFonts w:ascii="Consolas" w:hAnsi="Consolas" w:eastAsia="宋体"/>
          <w:sz w:val="19"/>
        </w:rPr>
        <w:t>GET /api/finance/companies/{companyId}</w:t>
      </w:r>
      <w:r>
        <w:rPr>
          <w:rFonts w:ascii="Calibri" w:hAnsi="Calibri" w:eastAsia="宋体"/>
          <w:b w:val="0"/>
          <w:sz w:val="21"/>
        </w:rPr>
        <w:t xml:space="preserve"> → </w:t>
      </w:r>
      <w:r>
        <w:rPr>
          <w:rFonts w:ascii="Consolas" w:hAnsi="Consolas" w:eastAsia="宋体"/>
          <w:sz w:val="19"/>
        </w:rPr>
        <w:t>data: CompanyVO</w:t>
      </w:r>
    </w:p>
    <w:p>
      <w:r>
        <w:rPr>
          <w:rFonts w:ascii="Calibri" w:hAnsi="Calibri" w:eastAsia="宋体"/>
          <w:b w:val="0"/>
          <w:sz w:val="21"/>
        </w:rPr>
        <w:t xml:space="preserve">CompanyVO: </w:t>
      </w:r>
      <w:r>
        <w:rPr>
          <w:rFonts w:ascii="Consolas" w:hAnsi="Consolas" w:eastAsia="宋体"/>
          <w:sz w:val="19"/>
        </w:rPr>
        <w:t>{companyId, stockCode, stockName, fullName, exchange, industryId, industryName, listDate, status}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1.5 财务画像</w:t>
      </w:r>
    </w:p>
    <w:p>
      <w:r>
        <w:rPr>
          <w:rFonts w:ascii="Consolas" w:hAnsi="Consolas" w:eastAsia="宋体"/>
          <w:sz w:val="19"/>
        </w:rPr>
        <w:t>GET /api/finance/profile?companyId=17&amp;fiscalYear=2025&amp;reportPeriod=年报</w:t>
      </w:r>
    </w:p>
    <w:p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{company, fiscalYear, reportPeriod, industryName, items:[{itemCode,itemName,reportType,unit,amount}], indicators:[{indicatorCode,indicatorName,dimension,unit,value,betterDirection}], valuation:{snapshotDate,closePrice,marketCap}}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1.6 多年度指标趋势</w:t>
      </w:r>
    </w:p>
    <w:p>
      <w:r>
        <w:rPr>
          <w:rFonts w:ascii="Consolas" w:hAnsi="Consolas" w:eastAsia="宋体"/>
          <w:sz w:val="19"/>
        </w:rPr>
        <w:t>GET /api/finance/trend?companyId=17&amp;indicators=roe,gross_margin,pe&amp;startYear=2021&amp;endYear=2025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indicators 逗号分隔, 缺省返回全部 12 项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[{indicatorCode, indicatorName, unit, points:[{year,value}]}]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1.7 行业对标(核心)</w:t>
      </w:r>
    </w:p>
    <w:p>
      <w:r>
        <w:rPr>
          <w:rFonts w:ascii="Consolas" w:hAnsi="Consolas" w:eastAsia="宋体"/>
          <w:sz w:val="19"/>
        </w:rPr>
        <w:t>GET /api/finance/benchmark?companyId=17&amp;fiscalYear=2025&amp;reportPeriod=年报</w:t>
      </w:r>
    </w:p>
    <w:p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{company, fiscalYear, reportPeriod, industryName, items:[BenchmarkItemVO]}</w:t>
      </w:r>
    </w:p>
    <w:p>
      <w:r>
        <w:rPr>
          <w:rFonts w:ascii="Calibri" w:hAnsi="Calibri" w:eastAsia="宋体"/>
          <w:b w:val="0"/>
          <w:sz w:val="21"/>
        </w:rPr>
        <w:t xml:space="preserve">BenchmarkItemVO: </w:t>
      </w:r>
      <w:r>
        <w:rPr>
          <w:rFonts w:ascii="Consolas" w:hAnsi="Consolas" w:eastAsia="宋体"/>
          <w:sz w:val="19"/>
        </w:rPr>
        <w:t>{indicatorCode, indicatorName, dimension, unit, betterDirection, companyValue, avgValue, medianValue, p25, p75, stdDev, companyCount, percentile, score, rank, total}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percentile: 原始百分位(0-100, 值越大数值越高)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score: 方向调整评分(0-100, 越高越优; lower_better 指标 = 100 - percentile)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rank: 行业排名(1=最优) / total: 行业公司数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1.8 行业指标排名</w:t>
      </w:r>
    </w:p>
    <w:p>
      <w:r>
        <w:rPr>
          <w:rFonts w:ascii="Consolas" w:hAnsi="Consolas" w:eastAsia="宋体"/>
          <w:sz w:val="19"/>
        </w:rPr>
        <w:t>GET /api/finance/ranking?industryId=3&amp;fiscalYear=2025&amp;indicatorCode=roe&amp;order=desc&amp;limit=20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order: asc/desc(缺省按指标方向自动)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[{companyId, stockCode, stockName, value, percentile, rank}]</w:t>
      </w:r>
      <w:r>
        <w:rPr>
          <w:rFonts w:ascii="Calibri" w:hAnsi="Calibri" w:eastAsia="宋体"/>
          <w:b w:val="0"/>
          <w:sz w:val="21"/>
        </w:rPr>
        <w:t>(按 rank 升序)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1.9 多条件交叉筛选(AND)</w:t>
      </w:r>
    </w:p>
    <w:p>
      <w:r>
        <w:rPr>
          <w:rFonts w:ascii="Consolas" w:hAnsi="Consolas" w:eastAsia="宋体"/>
          <w:sz w:val="19"/>
        </w:rPr>
        <w:t>POST /api/finance/screening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{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"industryId": 3,                 // 可选, 缺省全市场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"fiscalYear": 2025,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"reportPeriod": "年报",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"conditions": [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  {"indicatorCode": "roe", "operator": "gt", "value": 25},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  {"indicatorCode": "asset_liability_ratio", "operator": "lt", "value": 35},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  {"indicatorCode": "pe", "operator": "between", "value": 10, "value2": 35}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],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"page": 1, "size": 50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}</w:t>
      </w:r>
    </w:p>
    <w:p>
      <w:r>
        <w:rPr>
          <w:rFonts w:ascii="Calibri" w:hAnsi="Calibri" w:eastAsia="宋体"/>
          <w:b w:val="0"/>
          <w:sz w:val="21"/>
        </w:rPr>
        <w:t xml:space="preserve">operator 支持: </w:t>
      </w:r>
      <w:r>
        <w:rPr>
          <w:rFonts w:ascii="Consolas" w:hAnsi="Consolas" w:eastAsia="宋体"/>
          <w:sz w:val="19"/>
        </w:rPr>
        <w:t>gt / gte / lt / lte / between / pct_gt(行业百分位高于) / pct_lt(行业百分位低于)</w:t>
      </w:r>
    </w:p>
    <w:p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{total, conditionCount, companies:[{companyId, stockCode, stockName, industryName, matchedCount, details:[{indicatorCode, indicatorName, operator, value, value2, actualValue, passed}]}]}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1.10 重算指标与行业对标</w:t>
      </w:r>
    </w:p>
    <w:p>
      <w:r>
        <w:rPr>
          <w:rFonts w:ascii="Consolas" w:hAnsi="Consolas" w:eastAsia="宋体"/>
          <w:sz w:val="19"/>
        </w:rPr>
        <w:t>POST /api/finance/recalc</w:t>
      </w:r>
      <w:r>
        <w:rPr>
          <w:rFonts w:ascii="Calibri" w:hAnsi="Calibri" w:eastAsia="宋体"/>
          <w:b w:val="0"/>
          <w:sz w:val="21"/>
        </w:rPr>
        <w:t xml:space="preserve"> body 可选 </w:t>
      </w:r>
      <w:r>
        <w:rPr>
          <w:rFonts w:ascii="Consolas" w:hAnsi="Consolas" w:eastAsia="宋体"/>
          <w:sz w:val="19"/>
        </w:rPr>
        <w:t>{"industryId":1,"fiscalYear":2025}</w:t>
      </w:r>
      <w:r>
        <w:rPr>
          <w:rFonts w:ascii="Calibri" w:hAnsi="Calibri" w:eastAsia="宋体"/>
          <w:b w:val="0"/>
          <w:sz w:val="21"/>
        </w:rPr>
        <w:t>(缺省全量)</w:t>
      </w:r>
    </w:p>
    <w:p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{indicatorCount, benchmarkCount, message}</w:t>
      </w:r>
    </w:p>
    <w:p>
      <w:r>
        <w:rPr>
          <w:rFonts w:ascii="Calibri" w:hAnsi="Calibri" w:eastAsia="宋体"/>
          <w:b w:val="0"/>
          <w:sz w:val="21"/>
        </w:rPr>
        <w:t>流程: 原始数据 → 指标计算引擎(12项) → 行业基准统计引擎(均值/中位数/标准差/P25/P75)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2. AI 模块 `/api/ai`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2.1 Prompt 模板列表</w:t>
      </w:r>
    </w:p>
    <w:p>
      <w:r>
        <w:rPr>
          <w:rFonts w:ascii="Consolas" w:hAnsi="Consolas" w:eastAsia="宋体"/>
          <w:sz w:val="19"/>
        </w:rPr>
        <w:t>GET /api/ai/templates</w:t>
      </w:r>
      <w:r>
        <w:rPr>
          <w:rFonts w:ascii="Calibri" w:hAnsi="Calibri" w:eastAsia="宋体"/>
          <w:b w:val="0"/>
          <w:sz w:val="21"/>
        </w:rPr>
        <w:t xml:space="preserve"> → </w:t>
      </w:r>
      <w:r>
        <w:rPr>
          <w:rFonts w:ascii="Consolas" w:hAnsi="Consolas" w:eastAsia="宋体"/>
          <w:sz w:val="19"/>
        </w:rPr>
        <w:t>data: [{templateId, templateType, templateContent, version, enabled}]</w:t>
      </w:r>
    </w:p>
    <w:p>
      <w:pPr>
        <w:pStyle w:val="ListBullet"/>
      </w:pPr>
      <w:r>
        <w:rPr>
          <w:rFonts w:ascii="Consolas" w:hAnsi="Consolas" w:eastAsia="宋体"/>
          <w:sz w:val="19"/>
        </w:rPr>
        <w:t>templateType</w:t>
      </w:r>
      <w:r>
        <w:rPr>
          <w:rFonts w:ascii="Calibri" w:hAnsi="Calibri" w:eastAsia="宋体"/>
          <w:b w:val="0"/>
          <w:sz w:val="21"/>
        </w:rPr>
        <w:t>: 角色设定 / 数据注入 / 输出约束(即"三层 Prompt")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2.2 生成财报解读简报</w:t>
      </w:r>
    </w:p>
    <w:p>
      <w:r>
        <w:rPr>
          <w:rFonts w:ascii="Consolas" w:hAnsi="Consolas" w:eastAsia="宋体"/>
          <w:sz w:val="19"/>
        </w:rPr>
        <w:t>POST /api/ai/report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{"companyId": 17, "fiscalYear": 2025, "reportPeriod": "年报", "extraInstruction": "重点关注经营现金流"}</w:t>
      </w:r>
    </w:p>
    <w:p>
      <w:r>
        <w:rPr>
          <w:rFonts w:ascii="Calibri" w:hAnsi="Calibri" w:eastAsia="宋体"/>
          <w:b w:val="0"/>
          <w:sz w:val="21"/>
        </w:rPr>
        <w:t>流程: 取行业对标数据 → 序列化为数据上下文 JSON → 组装三层 Prompt</w:t>
      </w:r>
    </w:p>
    <w:p>
      <w:r>
        <w:rPr>
          <w:rFonts w:ascii="Calibri" w:hAnsi="Calibri" w:eastAsia="宋体"/>
          <w:b w:val="0"/>
          <w:sz w:val="21"/>
        </w:rPr>
        <w:t>(角色设定 + 数据注入 + 输出约束) → 调用 LLM(openai 兼容) → 落库</w:t>
      </w:r>
    </w:p>
    <w:p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AiReport {reportId, companyId, fiscalYear, reportPeriod, reportType:"brief", userQuestion, aiAnswer(Markdown), context(注入数据JSON, 防幻觉审计), numericAccuracy, suspiciousCount, createTime}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2.3 上下文感知追问对话</w:t>
      </w:r>
    </w:p>
    <w:p>
      <w:r>
        <w:rPr>
          <w:rFonts w:ascii="Consolas" w:hAnsi="Consolas" w:eastAsia="宋体"/>
          <w:sz w:val="19"/>
        </w:rPr>
        <w:t>POST /api/ai/chat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{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"companyId": 17, "fiscalYear": 2025, "reportPeriod": "年报",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"question": "茅台的毛利率和ROE在行业里处于什么水平?",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"history": [{"role": "user", "content": "..."}, {"role": "assistant", "content": "..."}]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}</w:t>
      </w:r>
    </w:p>
    <w:p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AiReport {reportType:"chat", ...}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2.4 报告记录</w:t>
      </w:r>
    </w:p>
    <w:p>
      <w:r>
        <w:rPr>
          <w:rFonts w:ascii="Consolas" w:hAnsi="Consolas" w:eastAsia="宋体"/>
          <w:sz w:val="19"/>
        </w:rPr>
        <w:t>GET /api/ai/reports?companyId=17&amp;page=1&amp;size=10</w:t>
      </w:r>
      <w:r>
        <w:rPr>
          <w:rFonts w:ascii="Calibri" w:hAnsi="Calibri" w:eastAsia="宋体"/>
          <w:b w:val="0"/>
          <w:sz w:val="21"/>
        </w:rPr>
        <w:t xml:space="preserve"> → </w:t>
      </w:r>
      <w:r>
        <w:rPr>
          <w:rFonts w:ascii="Consolas" w:hAnsi="Consolas" w:eastAsia="宋体"/>
          <w:sz w:val="19"/>
        </w:rPr>
        <w:t>data: {total, page, size, list:[AiReport]}</w:t>
      </w:r>
    </w:p>
    <w:p>
      <w:r>
        <w:rPr>
          <w:rFonts w:ascii="Consolas" w:hAnsi="Consolas" w:eastAsia="宋体"/>
          <w:sz w:val="19"/>
        </w:rPr>
        <w:t>GET /api/ai/reports/{reportId}</w:t>
      </w:r>
      <w:r>
        <w:rPr>
          <w:rFonts w:ascii="Calibri" w:hAnsi="Calibri" w:eastAsia="宋体"/>
          <w:b w:val="0"/>
          <w:sz w:val="21"/>
        </w:rPr>
        <w:t xml:space="preserve"> → </w:t>
      </w:r>
      <w:r>
        <w:rPr>
          <w:rFonts w:ascii="Consolas" w:hAnsi="Consolas" w:eastAsia="宋体"/>
          <w:sz w:val="19"/>
        </w:rPr>
        <w:t>data: AiReport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2.5 LLM 配置与降级</w:t>
      </w:r>
    </w:p>
    <w:p>
      <w:pPr>
        <w:pStyle w:val="ListBullet"/>
      </w:pPr>
      <w:r>
        <w:rPr>
          <w:rFonts w:ascii="Consolas" w:hAnsi="Consolas" w:eastAsia="宋体"/>
          <w:sz w:val="19"/>
        </w:rPr>
        <w:t>ai.provider=mock</w:t>
      </w:r>
      <w:r>
        <w:rPr>
          <w:rFonts w:ascii="Calibri" w:hAnsi="Calibri" w:eastAsia="宋体"/>
          <w:b w:val="0"/>
          <w:sz w:val="21"/>
        </w:rPr>
        <w:t>: 无需 API Key, 由规则引擎基于注入数据生成确定性报告/回答(演示与离线可用)</w:t>
      </w:r>
    </w:p>
    <w:p>
      <w:pPr>
        <w:pStyle w:val="ListBullet"/>
      </w:pPr>
      <w:r>
        <w:rPr>
          <w:rFonts w:ascii="Consolas" w:hAnsi="Consolas" w:eastAsia="宋体"/>
          <w:sz w:val="19"/>
        </w:rPr>
        <w:t>ai.provider=openai</w:t>
      </w:r>
      <w:r>
        <w:rPr>
          <w:rFonts w:ascii="Calibri" w:hAnsi="Calibri" w:eastAsia="宋体"/>
          <w:b w:val="0"/>
          <w:sz w:val="21"/>
        </w:rPr>
        <w:t>: 调用 OpenAI 兼容接口(DeepSeek/通义/智谱等), 失败自动降级 mock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配置项: </w:t>
      </w:r>
      <w:r>
        <w:rPr>
          <w:rFonts w:ascii="Consolas" w:hAnsi="Consolas" w:eastAsia="宋体"/>
          <w:sz w:val="19"/>
        </w:rPr>
        <w:t>ai.base-url / ai.api-key / ai.model / ai.temperature / ai.timeout-seconds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3. 系统模块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3.1 健康检查</w:t>
      </w:r>
    </w:p>
    <w:p>
      <w:r>
        <w:rPr>
          <w:rFonts w:ascii="Consolas" w:hAnsi="Consolas" w:eastAsia="宋体"/>
          <w:sz w:val="19"/>
        </w:rPr>
        <w:t>GET /api/health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// 返回 data: {"app":"prompt_project","status":"UP","database":"UP","aiProvider":"mock","time":"2025-01-01 12:00:00"}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前端顶栏的"服务状态"徽标轮询此接口; </w:t>
      </w:r>
      <w:r>
        <w:rPr>
          <w:rFonts w:ascii="Consolas" w:hAnsi="Consolas" w:eastAsia="宋体"/>
          <w:sz w:val="19"/>
        </w:rPr>
        <w:t>database</w:t>
      </w:r>
      <w:r>
        <w:rPr>
          <w:rFonts w:ascii="Calibri" w:hAnsi="Calibri" w:eastAsia="宋体"/>
          <w:b w:val="0"/>
          <w:sz w:val="21"/>
        </w:rPr>
        <w:t xml:space="preserve"> 为 </w:t>
      </w:r>
      <w:r>
        <w:rPr>
          <w:rFonts w:ascii="Consolas" w:hAnsi="Consolas" w:eastAsia="宋体"/>
          <w:sz w:val="19"/>
        </w:rPr>
        <w:t>DOWN</w:t>
      </w:r>
      <w:r>
        <w:rPr>
          <w:rFonts w:ascii="Calibri" w:hAnsi="Calibri" w:eastAsia="宋体"/>
          <w:b w:val="0"/>
          <w:sz w:val="21"/>
        </w:rPr>
        <w:t xml:space="preserve"> 时表示数据库不可用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3.2 服务信息页(占位页)</w:t>
      </w:r>
    </w:p>
    <w:p>
      <w:r>
        <w:rPr>
          <w:rFonts w:ascii="Consolas" w:hAnsi="Consolas" w:eastAsia="宋体"/>
          <w:sz w:val="19"/>
        </w:rPr>
        <w:t>GET /</w:t>
      </w:r>
      <w:r>
        <w:rPr>
          <w:rFonts w:ascii="Calibri" w:hAnsi="Calibri" w:eastAsia="宋体"/>
          <w:b w:val="0"/>
          <w:sz w:val="21"/>
        </w:rPr>
        <w:t xml:space="preserve"> (返回 </w:t>
      </w:r>
      <w:r>
        <w:rPr>
          <w:rFonts w:ascii="Consolas" w:hAnsi="Consolas" w:eastAsia="宋体"/>
          <w:sz w:val="19"/>
        </w:rPr>
        <w:t>text/html</w:t>
      </w:r>
      <w:r>
        <w:rPr>
          <w:rFonts w:ascii="Calibri" w:hAnsi="Calibri" w:eastAsia="宋体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浏览器直接访问 8091 时展示的服务信息页(含接口索引与快速体验链接)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4. 错误码 (ErrorCodeEnums)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code</w:t>
            </w:r>
          </w:p>
        </w:tc>
        <w:tc>
          <w:tcPr>
            <w:tcW w:type="dxa" w:w="432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COMPANY_NOT_EXIST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公司不存在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DATA_NOT_FOUND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未找到财务数据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INVALID_YEAR / REPORT_TYPE_ERROR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年份/报告期无效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INDICATOR_NOT_FOUND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指标未找到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BENCHMARK_NOT_FOUND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行业对标数据未找到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NO_INDICATOR_DATA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暂无指标数据, 请先执行 recalc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SCREENING_NO_CONDITION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筛选条件不能为空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LLM_CALL_FAILED / AI_SERVICE_ERROR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大模型/AI 服务异常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TEMPLATE_NOT_FOUND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Prompt 模板未找到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INVALID_PARAM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参数无效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SYSTEM_ERROR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系统内部错误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