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黑体"/>
          <w:b/>
          <w:color w:val="1F3B63"/>
          <w:sz w:val="32"/>
        </w:rPr>
        <w:t>基于Prompt工程的上市公司财报解读与行业对标系统设计与实现</w:t>
      </w:r>
    </w:p>
    <w:p>
      <w:r>
        <w:rPr>
          <w:rFonts w:ascii="Calibri" w:hAnsi="Calibri" w:eastAsia="宋体"/>
          <w:b w:val="0"/>
          <w:sz w:val="21"/>
        </w:rPr>
        <w:t>韩宇，贾爱柯，崔德昊</w:t>
      </w:r>
    </w:p>
    <w:p>
      <w:r>
        <w:rPr>
          <w:rFonts w:ascii="Calibri" w:hAnsi="Calibri" w:eastAsia="宋体"/>
          <w:b w:val="0"/>
          <w:sz w:val="21"/>
        </w:rPr>
        <w:t>（淮阴师范学院，江苏 淮安 223300）</w:t>
      </w:r>
    </w:p>
    <w:p>
      <w:r>
        <w:rPr>
          <w:rFonts w:ascii="Calibri" w:hAnsi="Calibri" w:eastAsia="宋体"/>
          <w:b w:val="0"/>
          <w:sz w:val="21"/>
        </w:rPr>
        <w:t>桂斌（指导教师，通讯作者）</w:t>
      </w:r>
    </w:p>
    <w:p>
      <w:r>
        <w:rPr>
          <w:rFonts w:ascii="Calibri" w:hAnsi="Calibri" w:eastAsia="宋体"/>
          <w:b w:val="0"/>
          <w:sz w:val="21"/>
        </w:rPr>
        <w:t>（淮阴师范学院，江苏 淮安 223300）</w:t>
      </w:r>
    </w:p>
    <w:p>
      <w:r>
        <w:rPr>
          <w:rFonts w:ascii="Calibri" w:hAnsi="Calibri" w:eastAsia="宋体"/>
          <w:b/>
          <w:sz w:val="21"/>
        </w:rPr>
        <w:t>基金项目：</w:t>
      </w:r>
      <w:r>
        <w:rPr>
          <w:rFonts w:ascii="Calibri" w:hAnsi="Calibri" w:eastAsia="宋体"/>
          <w:b w:val="0"/>
          <w:sz w:val="21"/>
        </w:rPr>
        <w:t xml:space="preserve"> 江苏省高等学校大学生创新创业训练计划项目（省级，编号：XXXXXXXX）</w:t>
      </w:r>
    </w:p>
    <w:p>
      <w:r>
        <w:rPr>
          <w:rFonts w:ascii="Calibri" w:hAnsi="Calibri" w:eastAsia="宋体"/>
          <w:b/>
          <w:sz w:val="21"/>
        </w:rPr>
        <w:t>摘要：</w:t>
      </w:r>
      <w:r>
        <w:rPr>
          <w:rFonts w:ascii="Calibri" w:hAnsi="Calibri" w:eastAsia="宋体"/>
          <w:b w:val="0"/>
          <w:sz w:val="21"/>
        </w:rPr>
        <w:t xml:space="preserve"> 针对普通投资者难以解读上市公司财报、通用大模型在财务分析中易"捏造数据"的问题，设计并实现了一个基于Prompt工程的上市公司财报解读与行业对标系统。系统采用"数据计算层+智能解读层"双层解耦架构：数据计算层自动完成财务指标计算、行业对标统计与估值快照，保证每个数字均可溯源；智能解读层基于"角色设定+数据注入+输出约束"三层Prompt模板驱动大语言模型，以结构化的精确计算结果为唯一数据来源生成解读简报，并通过负面指令约束、缺失数据显式声明、模型不可用时确定性降级等机制抑制幻觉。系统覆盖电子设备、医药、酒饮3个行业24家上市公司2021—2025年年报真实数据，经与公开财报核对，营收、归母净利润、毛利率等关键数值误差为零；生成的解读报告结构规范、引用数据准确。实验与应用表明，该"精确计算+智能解读"闭环可有效兼顾分析精确性与解读通俗性，为普通投资者提供了低门槛的智能财报分析工具。</w:t>
      </w:r>
    </w:p>
    <w:p>
      <w:r>
        <w:rPr>
          <w:rFonts w:ascii="Calibri" w:hAnsi="Calibri" w:eastAsia="宋体"/>
          <w:b/>
          <w:sz w:val="21"/>
        </w:rPr>
        <w:t>关键词：</w:t>
      </w:r>
      <w:r>
        <w:rPr>
          <w:rFonts w:ascii="Calibri" w:hAnsi="Calibri" w:eastAsia="宋体"/>
          <w:b w:val="0"/>
          <w:sz w:val="21"/>
        </w:rPr>
        <w:t xml:space="preserve"> Prompt工程；财报解读；行业对标；大语言模型；抗幻觉；财务分析</w:t>
      </w:r>
    </w:p>
    <w:p>
      <w:r>
        <w:rPr>
          <w:rFonts w:ascii="Calibri" w:hAnsi="Calibri" w:eastAsia="宋体"/>
          <w:b/>
          <w:sz w:val="21"/>
        </w:rPr>
        <w:t>中图分类号：</w:t>
      </w:r>
      <w:r>
        <w:rPr>
          <w:rFonts w:ascii="Calibri" w:hAnsi="Calibri" w:eastAsia="宋体"/>
          <w:b w:val="0"/>
          <w:sz w:val="21"/>
        </w:rPr>
        <w:t xml:space="preserve"> TP311.5　　</w:t>
      </w:r>
      <w:r>
        <w:rPr>
          <w:rFonts w:ascii="Calibri" w:hAnsi="Calibri" w:eastAsia="宋体"/>
          <w:b/>
          <w:sz w:val="21"/>
        </w:rPr>
        <w:t>文献标志码：</w:t>
      </w:r>
      <w:r>
        <w:rPr>
          <w:rFonts w:ascii="Calibri" w:hAnsi="Calibri" w:eastAsia="宋体"/>
          <w:b w:val="0"/>
          <w:sz w:val="21"/>
        </w:rPr>
        <w:t xml:space="preserve"> A</w:t>
      </w:r>
    </w:p>
    <w:p>
      <w:pPr>
        <w:pStyle w:val="Heading2"/>
      </w:pPr>
      <w:r>
        <w:rPr>
          <w:rFonts w:ascii="Calibri" w:hAnsi="Calibri" w:eastAsia="黑体"/>
          <w:b/>
          <w:color w:val="1F3B63"/>
          <w:sz w:val="28"/>
        </w:rPr>
        <w:t>0 引言</w:t>
      </w:r>
    </w:p>
    <w:p>
      <w:r>
        <w:rPr>
          <w:rFonts w:ascii="Calibri" w:hAnsi="Calibri" w:eastAsia="宋体"/>
          <w:b w:val="0"/>
          <w:sz w:val="21"/>
        </w:rPr>
        <w:t>上市公司财务报告是投资者了解企业基本面最重要的公开信息源。然而，读懂一份年报需要会计、财务分析等专业知识：三大报表涉及数十个科目，盈利能力、成长性、偿债风险、估值水平等维度的判断依赖大量行业参照。据调查，A股个人投资者占比高但专业分析能力普遍不足，而专业分析工具的缺失进一步放大了信息不对称。</w:t>
      </w:r>
    </w:p>
    <w:p>
      <w:r>
        <w:rPr>
          <w:rFonts w:ascii="Calibri" w:hAnsi="Calibri" w:eastAsia="宋体"/>
          <w:b w:val="0"/>
          <w:sz w:val="21"/>
        </w:rPr>
        <w:t>自Beaver（1966）与Altman（1968）开创财务困境预测研究以来，量化财务分析经历了从单变量判别、多元判别到机器学习模型的发展；但相关研究多聚焦单一维度的预测建模，缺乏面向普通投资者的可视化分析工具。近年来，以GPT为代表的大语言模型（LLM）展现出强大的文本理解与生成能力，Lopez-Lira与Tang（2023）发现ChatGPT在财经新闻方向性预测上具有显著能力，BloombergGPT（Wu等，2023）则证明了金融领域专用大模型的价值。但通用大模型直接用于财报解读存在两大痛点：一是模型对训练数据之外的"私有数字"容易产生幻觉，会自信地输出并不存在的财务数据；二是未经约束的开放式回答结构随意、口径不一，难以作为严肃的分析结论。</w:t>
      </w:r>
    </w:p>
    <w:p>
      <w:r>
        <w:rPr>
          <w:rFonts w:ascii="Calibri" w:hAnsi="Calibri" w:eastAsia="宋体"/>
          <w:b w:val="0"/>
          <w:sz w:val="21"/>
        </w:rPr>
        <w:t>本文针对上述问题，提出"数据计算与智能解读双层解耦"的系统设计方案，并完成系统实现：由系统自身完成全部统计计算（数据锚定），通过Prompt工程将计算结果结构化注入大模型（指令约束），使大模型退化为"基于给定数据写作"的生成器而非"凭记忆编造"的预言家。本文的主要工作包括：</w:t>
      </w:r>
    </w:p>
    <w:p>
      <w:r>
        <w:rPr>
          <w:rFonts w:ascii="Calibri" w:hAnsi="Calibri" w:eastAsia="宋体"/>
          <w:b w:val="0"/>
          <w:sz w:val="21"/>
        </w:rPr>
        <w:t>（1）构建覆盖盈利、成长、风险、估值等维度的财务指标体系与行业对标计算引擎，实现行业均值、中位数、四分位数、百分位评分与方向感知排名，并基于公开数据源完成24家上市公司2021—2025年真实财报数据采集与准确性校验；</w:t>
      </w:r>
    </w:p>
    <w:p>
      <w:r>
        <w:rPr>
          <w:rFonts w:ascii="Calibri" w:hAnsi="Calibri" w:eastAsia="宋体"/>
          <w:b w:val="0"/>
          <w:sz w:val="21"/>
        </w:rPr>
        <w:t>（2）设计"角色设定+数据注入+输出约束"三层Prompt模板体系，模板存储于数据库可在线调整与版本化管理，配合负面指令、缺失声明与确定性降级机制抑制模型幻觉；</w:t>
      </w:r>
    </w:p>
    <w:p>
      <w:r>
        <w:rPr>
          <w:rFonts w:ascii="Calibri" w:hAnsi="Calibri" w:eastAsia="宋体"/>
          <w:b w:val="0"/>
          <w:sz w:val="21"/>
        </w:rPr>
        <w:t>（3）基于Spring Boot+Vue3实现前后端分离的完整系统，提供财务画像、趋势分析、行业对标、多维排名、条件筛选与AI解读对话等能力，并以真实数据完成功能与准确性验证。</w:t>
      </w:r>
    </w:p>
    <w:p>
      <w:pPr>
        <w:pStyle w:val="Heading2"/>
      </w:pPr>
      <w:r>
        <w:rPr>
          <w:rFonts w:ascii="Calibri" w:hAnsi="Calibri" w:eastAsia="黑体"/>
          <w:b/>
          <w:color w:val="1F3B63"/>
          <w:sz w:val="28"/>
        </w:rPr>
        <w:t>1 相关工作</w:t>
      </w:r>
    </w:p>
    <w:p>
      <w:pPr>
        <w:pStyle w:val="Heading3"/>
      </w:pPr>
      <w:r>
        <w:rPr>
          <w:rFonts w:ascii="Calibri" w:hAnsi="Calibri" w:eastAsia="黑体"/>
          <w:b/>
          <w:color w:val="1F3B63"/>
          <w:sz w:val="24"/>
        </w:rPr>
        <w:t>1.1 财务分析与行业对标研究现状</w:t>
      </w:r>
    </w:p>
    <w:p>
      <w:r>
        <w:rPr>
          <w:rFonts w:ascii="Calibri" w:hAnsi="Calibri" w:eastAsia="宋体"/>
          <w:b w:val="0"/>
          <w:sz w:val="21"/>
        </w:rPr>
        <w:t>财务困境预测方面，Beaver的单变量比率分析[1]与Altman的Z-Score多变量判别模型[2]奠定了量化基础；随后随机森林、XGBoost等机器学习方法被广泛用于财务舞弊识别与信用风险评估。行业竞争分析方面，Porter五力模型[3]提供了理论框架，Fama-French多因子模型[4]将行业因素纳入资产定价。工具层面，彭博终端等专业平台提供行业相对估值查询，但操作门槛与成本较高，不适用于普通投资者。国内依托国泰安（CSMAR）、万得（Wind）等数据库，在财务风险预警[7]、盈余管理与年报文本挖掘等方面成果丰富，并发展了行业调整后的财务指标评价体系[8]与行业分类标准[9]，但多停留在静态均值对比，缺少动态排名、多维可视化与可交互的在线分析工具。</w:t>
      </w:r>
    </w:p>
    <w:p>
      <w:pPr>
        <w:pStyle w:val="Heading3"/>
      </w:pPr>
      <w:r>
        <w:rPr>
          <w:rFonts w:ascii="Calibri" w:hAnsi="Calibri" w:eastAsia="黑体"/>
          <w:b/>
          <w:color w:val="1F3B63"/>
          <w:sz w:val="24"/>
        </w:rPr>
        <w:t>1.2 大语言模型与Prompt工程在金融领域的应用</w:t>
      </w:r>
    </w:p>
    <w:p>
      <w:r>
        <w:rPr>
          <w:rFonts w:ascii="Calibri" w:hAnsi="Calibri" w:eastAsia="宋体"/>
          <w:b w:val="0"/>
          <w:sz w:val="21"/>
        </w:rPr>
        <w:t>GPT系列模型发布后，金融NLP研究迅速升温：Lopez-Lira与Tang[5]验证了ChatGPT对财经新闻的预测能力；BloombergGPT[6]以500亿参数金融语料训练取得领域最优；纽约联邦储备银行等机构开始探索大模型在经济预测与金融文本摘要中的应用。国内百度文心一言、阿里通义千问等国产模型相继开放API，使大模型应用成本大幅下降。Prompt工程（提示工程）作为大模型应用的关键技术，通过角色设定、少样本示例、输出约束等手段引导模型行为，已在信息抽取、摘要生成等任务中广泛使用。然而，将"结构化财务数据计算"与"自然语言报告生成"系统化融合的研究尚处于起步阶段，如何约束模型严格依据注入数据、抑制数值幻觉，仍是该方向的核心难点。</w:t>
      </w:r>
    </w:p>
    <w:p>
      <w:pPr>
        <w:pStyle w:val="Heading2"/>
      </w:pPr>
      <w:r>
        <w:rPr>
          <w:rFonts w:ascii="Calibri" w:hAnsi="Calibri" w:eastAsia="黑体"/>
          <w:b/>
          <w:color w:val="1F3B63"/>
          <w:sz w:val="28"/>
        </w:rPr>
        <w:t>2 系统总体设计</w:t>
      </w:r>
    </w:p>
    <w:p>
      <w:pPr>
        <w:pStyle w:val="Heading3"/>
      </w:pPr>
      <w:r>
        <w:rPr>
          <w:rFonts w:ascii="Calibri" w:hAnsi="Calibri" w:eastAsia="黑体"/>
          <w:b/>
          <w:color w:val="1F3B63"/>
          <w:sz w:val="24"/>
        </w:rPr>
        <w:t>2.1 设计目标与原则</w:t>
      </w:r>
    </w:p>
    <w:p>
      <w:r>
        <w:rPr>
          <w:rFonts w:ascii="Calibri" w:hAnsi="Calibri" w:eastAsia="宋体"/>
          <w:b w:val="0"/>
          <w:sz w:val="21"/>
        </w:rPr>
        <w:t>系统面向普通投资者，设计目标为：（1）以可溯源、可复算的真实财务数据为唯一事实基础；（2）通过行业对标明确公司在行业中的竞争位置；（3）借助Prompt工程将统计结果转化为结构规范、通俗易懂的自然语言诊断报告；（4）全程防止模型捏造数据。据此确定三条设计原则：</w:t>
      </w:r>
      <w:r>
        <w:rPr>
          <w:rFonts w:ascii="Calibri" w:hAnsi="Calibri" w:eastAsia="宋体"/>
          <w:b/>
          <w:sz w:val="21"/>
        </w:rPr>
        <w:t>计算与生成解耦</w:t>
      </w:r>
      <w:r>
        <w:rPr>
          <w:rFonts w:ascii="Calibri" w:hAnsi="Calibri" w:eastAsia="宋体"/>
          <w:b w:val="0"/>
          <w:sz w:val="21"/>
        </w:rPr>
        <w:t>——所有数字由系统计算而非模型回忆；</w:t>
      </w:r>
      <w:r>
        <w:rPr>
          <w:rFonts w:ascii="Calibri" w:hAnsi="Calibri" w:eastAsia="宋体"/>
          <w:b/>
          <w:sz w:val="21"/>
        </w:rPr>
        <w:t>数据锚定</w:t>
      </w:r>
      <w:r>
        <w:rPr>
          <w:rFonts w:ascii="Calibri" w:hAnsi="Calibri" w:eastAsia="宋体"/>
          <w:b w:val="0"/>
          <w:sz w:val="21"/>
        </w:rPr>
        <w:t>——模型只能引用注入数据；</w:t>
      </w:r>
      <w:r>
        <w:rPr>
          <w:rFonts w:ascii="Calibri" w:hAnsi="Calibri" w:eastAsia="宋体"/>
          <w:b/>
          <w:sz w:val="21"/>
        </w:rPr>
        <w:t>可降级</w:t>
      </w:r>
      <w:r>
        <w:rPr>
          <w:rFonts w:ascii="Calibri" w:hAnsi="Calibri" w:eastAsia="宋体"/>
          <w:b w:val="0"/>
          <w:sz w:val="21"/>
        </w:rPr>
        <w:t>——大模型不可用时系统仍能输出基于数据的确定性报告。</w:t>
      </w:r>
    </w:p>
    <w:p>
      <w:pPr>
        <w:pStyle w:val="Heading3"/>
      </w:pPr>
      <w:r>
        <w:rPr>
          <w:rFonts w:ascii="Calibri" w:hAnsi="Calibri" w:eastAsia="黑体"/>
          <w:b/>
          <w:color w:val="1F3B63"/>
          <w:sz w:val="24"/>
        </w:rPr>
        <w:t>2.2 总体架构</w:t>
      </w:r>
    </w:p>
    <w:p>
      <w:r>
        <w:rPr>
          <w:rFonts w:ascii="Calibri" w:hAnsi="Calibri" w:eastAsia="宋体"/>
          <w:b w:val="0"/>
          <w:sz w:val="21"/>
        </w:rPr>
        <w:t>系统采用前后端分离架构，逻辑上分为三层，如图1所示。</w:t>
      </w:r>
    </w:p>
    <w:p>
      <w:pPr>
        <w:shd w:val="clear" w:fill="F2F2F2"/>
      </w:pPr>
      <w:r>
        <w:rPr>
          <w:rFonts w:ascii="Consolas" w:hAnsi="Consolas" w:eastAsia="宋体"/>
          <w:sz w:val="18"/>
        </w:rPr>
        <w:t>┌─────────────────────────────────────────────────────────────┐</w:t>
      </w:r>
    </w:p>
    <w:p>
      <w:pPr>
        <w:shd w:val="clear" w:fill="F2F2F2"/>
      </w:pPr>
      <w:r>
        <w:rPr>
          <w:rFonts w:ascii="Consolas" w:hAnsi="Consolas" w:eastAsia="宋体"/>
          <w:sz w:val="18"/>
        </w:rPr>
        <w:t>│ 展示层  Vue3 + ECharts                                       │</w:t>
      </w:r>
    </w:p>
    <w:p>
      <w:pPr>
        <w:shd w:val="clear" w:fill="F2F2F2"/>
      </w:pPr>
      <w:r>
        <w:rPr>
          <w:rFonts w:ascii="Consolas" w:hAnsi="Consolas" w:eastAsia="宋体"/>
          <w:sz w:val="18"/>
        </w:rPr>
        <w:t>│  公司画像 / 趋势图 / 雷达图 / 排名表 / 条件筛选 / AI简报 / 对话  │</w:t>
      </w:r>
    </w:p>
    <w:p>
      <w:pPr>
        <w:shd w:val="clear" w:fill="F2F2F2"/>
      </w:pPr>
      <w:r>
        <w:rPr>
          <w:rFonts w:ascii="Consolas" w:hAnsi="Consolas" w:eastAsia="宋体"/>
          <w:sz w:val="18"/>
        </w:rPr>
        <w:t>└──────────────────────────┬──────────────────────────────────┘</w:t>
      </w:r>
    </w:p>
    <w:p>
      <w:pPr>
        <w:shd w:val="clear" w:fill="F2F2F2"/>
      </w:pPr>
      <w:r>
        <w:rPr>
          <w:rFonts w:ascii="Consolas" w:hAnsi="Consolas" w:eastAsia="宋体"/>
          <w:sz w:val="18"/>
        </w:rPr>
        <w:t xml:space="preserve">                           │ REST API (/api) JSON</w:t>
      </w:r>
    </w:p>
    <w:p>
      <w:pPr>
        <w:shd w:val="clear" w:fill="F2F2F2"/>
      </w:pPr>
      <w:r>
        <w:rPr>
          <w:rFonts w:ascii="Consolas" w:hAnsi="Consolas" w:eastAsia="宋体"/>
          <w:sz w:val="18"/>
        </w:rPr>
        <w:t>┌──────────────────────────▼──────────────────────────────────┐</w:t>
      </w:r>
    </w:p>
    <w:p>
      <w:pPr>
        <w:shd w:val="clear" w:fill="F2F2F2"/>
      </w:pPr>
      <w:r>
        <w:rPr>
          <w:rFonts w:ascii="Consolas" w:hAnsi="Consolas" w:eastAsia="宋体"/>
          <w:sz w:val="18"/>
        </w:rPr>
        <w:t>│ 业务层  Spring Boot 3.4 (Controller / Service / Mapper)      │</w:t>
      </w:r>
    </w:p>
    <w:p>
      <w:pPr>
        <w:shd w:val="clear" w:fill="F2F2F2"/>
      </w:pPr>
      <w:r>
        <w:rPr>
          <w:rFonts w:ascii="Consolas" w:hAnsi="Consolas" w:eastAsia="宋体"/>
          <w:sz w:val="18"/>
        </w:rPr>
        <w:t>│ ┌──────────────────────┐  ┌───────────────────────────────┐  │</w:t>
      </w:r>
    </w:p>
    <w:p>
      <w:pPr>
        <w:shd w:val="clear" w:fill="F2F2F2"/>
      </w:pPr>
      <w:r>
        <w:rPr>
          <w:rFonts w:ascii="Consolas" w:hAnsi="Consolas" w:eastAsia="宋体"/>
          <w:sz w:val="18"/>
        </w:rPr>
        <w:t>│ │ 智能解读层 (AiService) │  │ 数据计算层 (FinanceService)    │  │</w:t>
      </w:r>
    </w:p>
    <w:p>
      <w:pPr>
        <w:shd w:val="clear" w:fill="F2F2F2"/>
      </w:pPr>
      <w:r>
        <w:rPr>
          <w:rFonts w:ascii="Consolas" w:hAnsi="Consolas" w:eastAsia="宋体"/>
          <w:sz w:val="18"/>
        </w:rPr>
        <w:t>│ │ 三层Prompt模板        │  │ 指标计算引擎 (IndicatorCalc)   │  │</w:t>
      </w:r>
    </w:p>
    <w:p>
      <w:pPr>
        <w:shd w:val="clear" w:fill="F2F2F2"/>
      </w:pPr>
      <w:r>
        <w:rPr>
          <w:rFonts w:ascii="Consolas" w:hAnsi="Consolas" w:eastAsia="宋体"/>
          <w:sz w:val="18"/>
        </w:rPr>
        <w:t>│ │ 多轮对话 / 降级Mock    │◄─┤ 行业对标引擎 (BenchmarkCalc)  │  │</w:t>
      </w:r>
    </w:p>
    <w:p>
      <w:pPr>
        <w:shd w:val="clear" w:fill="F2F2F2"/>
      </w:pPr>
      <w:r>
        <w:rPr>
          <w:rFonts w:ascii="Consolas" w:hAnsi="Consolas" w:eastAsia="宋体"/>
          <w:sz w:val="18"/>
        </w:rPr>
        <w:t>│ └──────────────────────┘  └───────────────────────────────┘  │</w:t>
      </w:r>
    </w:p>
    <w:p>
      <w:pPr>
        <w:shd w:val="clear" w:fill="F2F2F2"/>
      </w:pPr>
      <w:r>
        <w:rPr>
          <w:rFonts w:ascii="Consolas" w:hAnsi="Consolas" w:eastAsia="宋体"/>
          <w:sz w:val="18"/>
        </w:rPr>
        <w:t>└──────────────────────────┬──────────────────────────────────┘</w:t>
      </w:r>
    </w:p>
    <w:p>
      <w:pPr>
        <w:shd w:val="clear" w:fill="F2F2F2"/>
      </w:pPr>
      <w:r>
        <w:rPr>
          <w:rFonts w:ascii="Consolas" w:hAnsi="Consolas" w:eastAsia="宋体"/>
          <w:sz w:val="18"/>
        </w:rPr>
        <w:t xml:space="preserve">                           │ JDBC (Druid)</w:t>
      </w:r>
    </w:p>
    <w:p>
      <w:pPr>
        <w:shd w:val="clear" w:fill="F2F2F2"/>
      </w:pPr>
      <w:r>
        <w:rPr>
          <w:rFonts w:ascii="Consolas" w:hAnsi="Consolas" w:eastAsia="宋体"/>
          <w:sz w:val="18"/>
        </w:rPr>
        <w:t>┌──────────────────────────▼──────────────────────────────────┐</w:t>
      </w:r>
    </w:p>
    <w:p>
      <w:pPr>
        <w:shd w:val="clear" w:fill="F2F2F2"/>
      </w:pPr>
      <w:r>
        <w:rPr>
          <w:rFonts w:ascii="Consolas" w:hAnsi="Consolas" w:eastAsia="宋体"/>
          <w:sz w:val="18"/>
        </w:rPr>
        <w:t>│ 数据层  MySQL 5.7 (utf8mb4)  财报分析系统                     │</w:t>
      </w:r>
    </w:p>
    <w:p>
      <w:pPr>
        <w:shd w:val="clear" w:fill="F2F2F2"/>
      </w:pPr>
      <w:r>
        <w:rPr>
          <w:rFonts w:ascii="Consolas" w:hAnsi="Consolas" w:eastAsia="宋体"/>
          <w:sz w:val="18"/>
        </w:rPr>
        <w:t>│ 上市公司/财务原始数据/估值快照/报表项目/财务指标/行业对标/      │</w:t>
      </w:r>
    </w:p>
    <w:p>
      <w:pPr>
        <w:shd w:val="clear" w:fill="F2F2F2"/>
      </w:pPr>
      <w:r>
        <w:rPr>
          <w:rFonts w:ascii="Consolas" w:hAnsi="Consolas" w:eastAsia="宋体"/>
          <w:sz w:val="18"/>
        </w:rPr>
        <w:t>│ 解读报告/提示词模板/行业分类                                  │</w:t>
      </w:r>
    </w:p>
    <w:p>
      <w:pPr>
        <w:shd w:val="clear" w:fill="F2F2F2"/>
      </w:pPr>
      <w:r>
        <w:rPr>
          <w:rFonts w:ascii="Consolas" w:hAnsi="Consolas" w:eastAsia="宋体"/>
          <w:sz w:val="18"/>
        </w:rPr>
        <w:t>└──────────────────────────┬──────────────────────────────────┘</w:t>
      </w:r>
    </w:p>
    <w:p>
      <w:pPr>
        <w:shd w:val="clear" w:fill="F2F2F2"/>
      </w:pPr>
      <w:r>
        <w:rPr>
          <w:rFonts w:ascii="Consolas" w:hAnsi="Consolas" w:eastAsia="宋体"/>
          <w:sz w:val="18"/>
        </w:rPr>
        <w:t xml:space="preserve">                           │ HTTP (定时/手工触发)</w:t>
      </w:r>
    </w:p>
    <w:p>
      <w:pPr>
        <w:shd w:val="clear" w:fill="F2F2F2"/>
      </w:pPr>
      <w:r>
        <w:rPr>
          <w:rFonts w:ascii="Consolas" w:hAnsi="Consolas" w:eastAsia="宋体"/>
          <w:sz w:val="18"/>
        </w:rPr>
        <w:t>┌──────────────────────────▼──────────────────────────────────┐</w:t>
      </w:r>
    </w:p>
    <w:p>
      <w:pPr>
        <w:shd w:val="clear" w:fill="F2F2F2"/>
      </w:pPr>
      <w:r>
        <w:rPr>
          <w:rFonts w:ascii="Consolas" w:hAnsi="Consolas" w:eastAsia="宋体"/>
          <w:sz w:val="18"/>
        </w:rPr>
        <w:t>│ 数据源  东方财富F10数据中心接口(三大报表) / 新浪行情(日K)       │</w:t>
      </w:r>
    </w:p>
    <w:p>
      <w:pPr>
        <w:shd w:val="clear" w:fill="F2F2F2"/>
      </w:pPr>
      <w:r>
        <w:rPr>
          <w:rFonts w:ascii="Consolas" w:hAnsi="Consolas" w:eastAsia="宋体"/>
          <w:sz w:val="18"/>
        </w:rPr>
        <w:t>│         采集脚本 sql/fetch_real_data.py -&gt; 03_real_data.sql  │</w:t>
      </w:r>
    </w:p>
    <w:p>
      <w:pPr>
        <w:shd w:val="clear" w:fill="F2F2F2"/>
      </w:pPr>
      <w:r>
        <w:rPr>
          <w:rFonts w:ascii="Consolas" w:hAnsi="Consolas" w:eastAsia="宋体"/>
          <w:sz w:val="18"/>
        </w:rPr>
        <w:t>└─────────────────────────────────────────────────────────────┘</w:t>
      </w:r>
    </w:p>
    <w:p>
      <w:r>
        <w:rPr>
          <w:rFonts w:ascii="Calibri" w:hAnsi="Calibri" w:eastAsia="宋体"/>
          <w:b w:val="0"/>
          <w:sz w:val="21"/>
        </w:rPr>
        <w:t>图1　系统总体架构</w:t>
      </w:r>
    </w:p>
    <w:p>
      <w:r>
        <w:rPr>
          <w:rFonts w:ascii="Calibri" w:hAnsi="Calibri" w:eastAsia="宋体"/>
          <w:b w:val="0"/>
          <w:sz w:val="21"/>
        </w:rPr>
        <w:t>其中</w:t>
      </w:r>
      <w:r>
        <w:rPr>
          <w:rFonts w:ascii="Calibri" w:hAnsi="Calibri" w:eastAsia="宋体"/>
          <w:b/>
          <w:sz w:val="21"/>
        </w:rPr>
        <w:t>数据计算层</w:t>
      </w:r>
      <w:r>
        <w:rPr>
          <w:rFonts w:ascii="Calibri" w:hAnsi="Calibri" w:eastAsia="宋体"/>
          <w:b w:val="0"/>
          <w:sz w:val="21"/>
        </w:rPr>
        <w:t>与</w:t>
      </w:r>
      <w:r>
        <w:rPr>
          <w:rFonts w:ascii="Calibri" w:hAnsi="Calibri" w:eastAsia="宋体"/>
          <w:b/>
          <w:sz w:val="21"/>
        </w:rPr>
        <w:t>智能解读层</w:t>
      </w:r>
      <w:r>
        <w:rPr>
          <w:rFonts w:ascii="Calibri" w:hAnsi="Calibri" w:eastAsia="宋体"/>
          <w:b w:val="0"/>
          <w:sz w:val="21"/>
        </w:rPr>
        <w:t>之间的接口是全文的关键抽象：数据计算层将"公司+财年"的指标与对标结果序列化为结构化JSON（含公司值、行业均值、中位数、P25/P75、样本数、百分位、评分、排名），该JSON既是供前端展示的数据，也是注入大模型的唯一事实上下文；智能解读层不再自行"查阅"或"回忆"任何财务数字。</w:t>
      </w:r>
    </w:p>
    <w:p>
      <w:pPr>
        <w:pStyle w:val="Heading3"/>
      </w:pPr>
      <w:r>
        <w:rPr>
          <w:rFonts w:ascii="Calibri" w:hAnsi="Calibri" w:eastAsia="黑体"/>
          <w:b/>
          <w:color w:val="1F3B63"/>
          <w:sz w:val="24"/>
        </w:rPr>
        <w:t>2.3 数据库设计</w:t>
      </w:r>
    </w:p>
    <w:p>
      <w:r>
        <w:rPr>
          <w:rFonts w:ascii="Calibri" w:hAnsi="Calibri" w:eastAsia="宋体"/>
          <w:b w:val="0"/>
          <w:sz w:val="21"/>
        </w:rPr>
        <w:t>数据库"财报分析系统"共9张核心表：上市公司（含行业分类）、报表项目（23个科目字典）、财务原始数据（2760条公司×年度×科目金额）、估值快照（年末收盘价与总市值）、财务指标（重算结果）、行业对标（行业×年度×指标统计）、解读报告（AI生成记录及注入上下文留痕）、提示词模板（三层模板，带版本号与启用标记）、行业分类。</w:t>
      </w:r>
    </w:p>
    <w:p>
      <w:pPr>
        <w:pStyle w:val="Heading2"/>
      </w:pPr>
      <w:r>
        <w:rPr>
          <w:rFonts w:ascii="Calibri" w:hAnsi="Calibri" w:eastAsia="黑体"/>
          <w:b/>
          <w:color w:val="1F3B63"/>
          <w:sz w:val="28"/>
        </w:rPr>
        <w:t>3 数据计算层：指标体系、数据采集与行业对标</w:t>
      </w:r>
    </w:p>
    <w:p>
      <w:pPr>
        <w:pStyle w:val="Heading3"/>
      </w:pPr>
      <w:r>
        <w:rPr>
          <w:rFonts w:ascii="Calibri" w:hAnsi="Calibri" w:eastAsia="黑体"/>
          <w:b/>
          <w:color w:val="1F3B63"/>
          <w:sz w:val="24"/>
        </w:rPr>
        <w:t>3.1 指标体系</w:t>
      </w:r>
    </w:p>
    <w:p>
      <w:r>
        <w:rPr>
          <w:rFonts w:ascii="Calibri" w:hAnsi="Calibri" w:eastAsia="宋体"/>
          <w:b w:val="0"/>
          <w:sz w:val="21"/>
        </w:rPr>
        <w:t>在报表项目层，系统从利润表、资产负债表、现金流量表中提取23个关键科目（营业收入、营业成本、营业利润、归母净利润、货币资金、总资产、经营现金流净额等），并在此基础上计算12项分析指标，覆盖6个分析维度，定义见表1。指标方向用于统一评分语义：资产负债率、PE、PB为低优（lower_better），其余为高优（higher_better）。</w:t>
      </w:r>
    </w:p>
    <w:p>
      <w:r>
        <w:rPr>
          <w:rFonts w:ascii="Calibri" w:hAnsi="Calibri" w:eastAsia="宋体"/>
          <w:b w:val="0"/>
          <w:sz w:val="21"/>
        </w:rPr>
        <w:t>表1　核心指标体系（12项）</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hd w:val="clear" w:fill="DEEAF6"/>
            </w:pPr>
            <w:r/>
            <w:r>
              <w:rPr>
                <w:rFonts w:ascii="Calibri" w:hAnsi="Calibri" w:eastAsia="宋体"/>
                <w:b/>
                <w:sz w:val="21"/>
              </w:rPr>
              <w:t>维度</w:t>
            </w:r>
          </w:p>
        </w:tc>
        <w:tc>
          <w:tcPr>
            <w:tcW w:type="dxa" w:w="1728"/>
          </w:tcPr>
          <w:p>
            <w:pPr>
              <w:shd w:val="clear" w:fill="DEEAF6"/>
            </w:pPr>
            <w:r/>
            <w:r>
              <w:rPr>
                <w:rFonts w:ascii="Calibri" w:hAnsi="Calibri" w:eastAsia="宋体"/>
                <w:b/>
                <w:sz w:val="21"/>
              </w:rPr>
              <w:t>指标编码</w:t>
            </w:r>
          </w:p>
        </w:tc>
        <w:tc>
          <w:tcPr>
            <w:tcW w:type="dxa" w:w="1728"/>
          </w:tcPr>
          <w:p>
            <w:pPr>
              <w:shd w:val="clear" w:fill="DEEAF6"/>
            </w:pPr>
            <w:r/>
            <w:r>
              <w:rPr>
                <w:rFonts w:ascii="Calibri" w:hAnsi="Calibri" w:eastAsia="宋体"/>
                <w:b/>
                <w:sz w:val="21"/>
              </w:rPr>
              <w:t>指标名称</w:t>
            </w:r>
          </w:p>
        </w:tc>
        <w:tc>
          <w:tcPr>
            <w:tcW w:type="dxa" w:w="1728"/>
          </w:tcPr>
          <w:p>
            <w:pPr>
              <w:shd w:val="clear" w:fill="DEEAF6"/>
            </w:pPr>
            <w:r/>
            <w:r>
              <w:rPr>
                <w:rFonts w:ascii="Calibri" w:hAnsi="Calibri" w:eastAsia="宋体"/>
                <w:b/>
                <w:sz w:val="21"/>
              </w:rPr>
              <w:t>单位</w:t>
            </w:r>
          </w:p>
        </w:tc>
        <w:tc>
          <w:tcPr>
            <w:tcW w:type="dxa" w:w="1728"/>
          </w:tcPr>
          <w:p>
            <w:pPr>
              <w:shd w:val="clear" w:fill="DEEAF6"/>
            </w:pPr>
            <w:r/>
            <w:r>
              <w:rPr>
                <w:rFonts w:ascii="Calibri" w:hAnsi="Calibri" w:eastAsia="宋体"/>
                <w:b/>
                <w:sz w:val="21"/>
              </w:rPr>
              <w:t>方向</w:t>
            </w:r>
          </w:p>
        </w:tc>
      </w:tr>
      <w:tr>
        <w:tc>
          <w:tcPr>
            <w:tcW w:type="dxa" w:w="1728"/>
          </w:tcPr>
          <w:p>
            <w:r/>
            <w:r>
              <w:rPr>
                <w:rFonts w:ascii="Calibri" w:hAnsi="Calibri" w:eastAsia="宋体"/>
                <w:b w:val="0"/>
                <w:sz w:val="21"/>
              </w:rPr>
              <w:t>------</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w:t>
            </w:r>
          </w:p>
        </w:tc>
      </w:tr>
      <w:tr>
        <w:tc>
          <w:tcPr>
            <w:tcW w:type="dxa" w:w="1728"/>
          </w:tcPr>
          <w:p>
            <w:r/>
            <w:r>
              <w:rPr>
                <w:rFonts w:ascii="Calibri" w:hAnsi="Calibri" w:eastAsia="宋体"/>
                <w:b w:val="0"/>
                <w:sz w:val="21"/>
              </w:rPr>
              <w:t>盈利能力</w:t>
            </w:r>
          </w:p>
        </w:tc>
        <w:tc>
          <w:tcPr>
            <w:tcW w:type="dxa" w:w="1728"/>
          </w:tcPr>
          <w:p>
            <w:r/>
            <w:r>
              <w:rPr>
                <w:rFonts w:ascii="Calibri" w:hAnsi="Calibri" w:eastAsia="宋体"/>
                <w:b w:val="0"/>
                <w:sz w:val="21"/>
              </w:rPr>
              <w:t>roe</w:t>
            </w:r>
          </w:p>
        </w:tc>
        <w:tc>
          <w:tcPr>
            <w:tcW w:type="dxa" w:w="1728"/>
          </w:tcPr>
          <w:p>
            <w:r/>
            <w:r>
              <w:rPr>
                <w:rFonts w:ascii="Calibri" w:hAnsi="Calibri" w:eastAsia="宋体"/>
                <w:b w:val="0"/>
                <w:sz w:val="21"/>
              </w:rPr>
              <w:t>净资产收益率（ROE）</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盈利能力</w:t>
            </w:r>
          </w:p>
        </w:tc>
        <w:tc>
          <w:tcPr>
            <w:tcW w:type="dxa" w:w="1728"/>
          </w:tcPr>
          <w:p>
            <w:r/>
            <w:r>
              <w:rPr>
                <w:rFonts w:ascii="Calibri" w:hAnsi="Calibri" w:eastAsia="宋体"/>
                <w:b w:val="0"/>
                <w:sz w:val="21"/>
              </w:rPr>
              <w:t>gross_margin</w:t>
            </w:r>
          </w:p>
        </w:tc>
        <w:tc>
          <w:tcPr>
            <w:tcW w:type="dxa" w:w="1728"/>
          </w:tcPr>
          <w:p>
            <w:r/>
            <w:r>
              <w:rPr>
                <w:rFonts w:ascii="Calibri" w:hAnsi="Calibri" w:eastAsia="宋体"/>
                <w:b w:val="0"/>
                <w:sz w:val="21"/>
              </w:rPr>
              <w:t>毛利率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盈利能力</w:t>
            </w:r>
          </w:p>
        </w:tc>
        <w:tc>
          <w:tcPr>
            <w:tcW w:type="dxa" w:w="1728"/>
          </w:tcPr>
          <w:p>
            <w:r/>
            <w:r>
              <w:rPr>
                <w:rFonts w:ascii="Calibri" w:hAnsi="Calibri" w:eastAsia="宋体"/>
                <w:b w:val="0"/>
                <w:sz w:val="21"/>
              </w:rPr>
              <w:t>net_margin_parent</w:t>
            </w:r>
          </w:p>
        </w:tc>
        <w:tc>
          <w:tcPr>
            <w:tcW w:type="dxa" w:w="1728"/>
          </w:tcPr>
          <w:p>
            <w:r/>
            <w:r>
              <w:rPr>
                <w:rFonts w:ascii="Calibri" w:hAnsi="Calibri" w:eastAsia="宋体"/>
                <w:b w:val="0"/>
                <w:sz w:val="21"/>
              </w:rPr>
              <w:t>归母净利率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成长能力</w:t>
            </w:r>
          </w:p>
        </w:tc>
        <w:tc>
          <w:tcPr>
            <w:tcW w:type="dxa" w:w="1728"/>
          </w:tcPr>
          <w:p>
            <w:r/>
            <w:r>
              <w:rPr>
                <w:rFonts w:ascii="Calibri" w:hAnsi="Calibri" w:eastAsia="宋体"/>
                <w:b w:val="0"/>
                <w:sz w:val="21"/>
              </w:rPr>
              <w:t>revenue_growth</w:t>
            </w:r>
          </w:p>
        </w:tc>
        <w:tc>
          <w:tcPr>
            <w:tcW w:type="dxa" w:w="1728"/>
          </w:tcPr>
          <w:p>
            <w:r/>
            <w:r>
              <w:rPr>
                <w:rFonts w:ascii="Calibri" w:hAnsi="Calibri" w:eastAsia="宋体"/>
                <w:b w:val="0"/>
                <w:sz w:val="21"/>
              </w:rPr>
              <w:t>营业收入增长率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成长能力</w:t>
            </w:r>
          </w:p>
        </w:tc>
        <w:tc>
          <w:tcPr>
            <w:tcW w:type="dxa" w:w="1728"/>
          </w:tcPr>
          <w:p>
            <w:r/>
            <w:r>
              <w:rPr>
                <w:rFonts w:ascii="Calibri" w:hAnsi="Calibri" w:eastAsia="宋体"/>
                <w:b w:val="0"/>
                <w:sz w:val="21"/>
              </w:rPr>
              <w:t>profit_growth</w:t>
            </w:r>
          </w:p>
        </w:tc>
        <w:tc>
          <w:tcPr>
            <w:tcW w:type="dxa" w:w="1728"/>
          </w:tcPr>
          <w:p>
            <w:r/>
            <w:r>
              <w:rPr>
                <w:rFonts w:ascii="Calibri" w:hAnsi="Calibri" w:eastAsia="宋体"/>
                <w:b w:val="0"/>
                <w:sz w:val="21"/>
              </w:rPr>
              <w:t>归母净利润增长率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财务风险</w:t>
            </w:r>
          </w:p>
        </w:tc>
        <w:tc>
          <w:tcPr>
            <w:tcW w:type="dxa" w:w="1728"/>
          </w:tcPr>
          <w:p>
            <w:r/>
            <w:r>
              <w:rPr>
                <w:rFonts w:ascii="Calibri" w:hAnsi="Calibri" w:eastAsia="宋体"/>
                <w:b w:val="0"/>
                <w:sz w:val="21"/>
              </w:rPr>
              <w:t>asset_liability_ratio</w:t>
            </w:r>
          </w:p>
        </w:tc>
        <w:tc>
          <w:tcPr>
            <w:tcW w:type="dxa" w:w="1728"/>
          </w:tcPr>
          <w:p>
            <w:r/>
            <w:r>
              <w:rPr>
                <w:rFonts w:ascii="Calibri" w:hAnsi="Calibri" w:eastAsia="宋体"/>
                <w:b w:val="0"/>
                <w:sz w:val="21"/>
              </w:rPr>
              <w:t>资产负债率</w:t>
            </w:r>
          </w:p>
        </w:tc>
        <w:tc>
          <w:tcPr>
            <w:tcW w:type="dxa" w:w="1728"/>
          </w:tcPr>
          <w:p>
            <w:r/>
            <w:r>
              <w:rPr>
                <w:rFonts w:ascii="Calibri" w:hAnsi="Calibri" w:eastAsia="宋体"/>
                <w:b w:val="0"/>
                <w:sz w:val="21"/>
              </w:rPr>
              <w:t>%</w:t>
            </w:r>
          </w:p>
        </w:tc>
        <w:tc>
          <w:tcPr>
            <w:tcW w:type="dxa" w:w="1728"/>
          </w:tcPr>
          <w:p>
            <w:r/>
            <w:r>
              <w:rPr>
                <w:rFonts w:ascii="Calibri" w:hAnsi="Calibri" w:eastAsia="宋体"/>
                <w:b w:val="0"/>
                <w:sz w:val="21"/>
              </w:rPr>
              <w:t>低优</w:t>
            </w:r>
          </w:p>
        </w:tc>
      </w:tr>
      <w:tr>
        <w:tc>
          <w:tcPr>
            <w:tcW w:type="dxa" w:w="1728"/>
          </w:tcPr>
          <w:p>
            <w:r/>
            <w:r>
              <w:rPr>
                <w:rFonts w:ascii="Calibri" w:hAnsi="Calibri" w:eastAsia="宋体"/>
                <w:b w:val="0"/>
                <w:sz w:val="21"/>
              </w:rPr>
              <w:t>财务风险</w:t>
            </w:r>
          </w:p>
        </w:tc>
        <w:tc>
          <w:tcPr>
            <w:tcW w:type="dxa" w:w="1728"/>
          </w:tcPr>
          <w:p>
            <w:r/>
            <w:r>
              <w:rPr>
                <w:rFonts w:ascii="Calibri" w:hAnsi="Calibri" w:eastAsia="宋体"/>
                <w:b w:val="0"/>
                <w:sz w:val="21"/>
              </w:rPr>
              <w:t>current_ratio</w:t>
            </w:r>
          </w:p>
        </w:tc>
        <w:tc>
          <w:tcPr>
            <w:tcW w:type="dxa" w:w="1728"/>
          </w:tcPr>
          <w:p>
            <w:r/>
            <w:r>
              <w:rPr>
                <w:rFonts w:ascii="Calibri" w:hAnsi="Calibri" w:eastAsia="宋体"/>
                <w:b w:val="0"/>
                <w:sz w:val="21"/>
              </w:rPr>
              <w:t>流动比率</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财务风险</w:t>
            </w:r>
          </w:p>
        </w:tc>
        <w:tc>
          <w:tcPr>
            <w:tcW w:type="dxa" w:w="1728"/>
          </w:tcPr>
          <w:p>
            <w:r/>
            <w:r>
              <w:rPr>
                <w:rFonts w:ascii="Calibri" w:hAnsi="Calibri" w:eastAsia="宋体"/>
                <w:b w:val="0"/>
                <w:sz w:val="21"/>
              </w:rPr>
              <w:t>quick_ratio</w:t>
            </w:r>
          </w:p>
        </w:tc>
        <w:tc>
          <w:tcPr>
            <w:tcW w:type="dxa" w:w="1728"/>
          </w:tcPr>
          <w:p>
            <w:r/>
            <w:r>
              <w:rPr>
                <w:rFonts w:ascii="Calibri" w:hAnsi="Calibri" w:eastAsia="宋体"/>
                <w:b w:val="0"/>
                <w:sz w:val="21"/>
              </w:rPr>
              <w:t>速动比率</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盈利质量</w:t>
            </w:r>
          </w:p>
        </w:tc>
        <w:tc>
          <w:tcPr>
            <w:tcW w:type="dxa" w:w="1728"/>
          </w:tcPr>
          <w:p>
            <w:r/>
            <w:r>
              <w:rPr>
                <w:rFonts w:ascii="Calibri" w:hAnsi="Calibri" w:eastAsia="宋体"/>
                <w:b w:val="0"/>
                <w:sz w:val="21"/>
              </w:rPr>
              <w:t>cashflow_quality</w:t>
            </w:r>
          </w:p>
        </w:tc>
        <w:tc>
          <w:tcPr>
            <w:tcW w:type="dxa" w:w="1728"/>
          </w:tcPr>
          <w:p>
            <w:r/>
            <w:r>
              <w:rPr>
                <w:rFonts w:ascii="Calibri" w:hAnsi="Calibri" w:eastAsia="宋体"/>
                <w:b w:val="0"/>
                <w:sz w:val="21"/>
              </w:rPr>
              <w:t>经营现金流净额/净利润</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每股指标</w:t>
            </w:r>
          </w:p>
        </w:tc>
        <w:tc>
          <w:tcPr>
            <w:tcW w:type="dxa" w:w="1728"/>
          </w:tcPr>
          <w:p>
            <w:r/>
            <w:r>
              <w:rPr>
                <w:rFonts w:ascii="Calibri" w:hAnsi="Calibri" w:eastAsia="宋体"/>
                <w:b w:val="0"/>
                <w:sz w:val="21"/>
              </w:rPr>
              <w:t>eps</w:t>
            </w:r>
          </w:p>
        </w:tc>
        <w:tc>
          <w:tcPr>
            <w:tcW w:type="dxa" w:w="1728"/>
          </w:tcPr>
          <w:p>
            <w:r/>
            <w:r>
              <w:rPr>
                <w:rFonts w:ascii="Calibri" w:hAnsi="Calibri" w:eastAsia="宋体"/>
                <w:b w:val="0"/>
                <w:sz w:val="21"/>
              </w:rPr>
              <w:t>基本每股收益</w:t>
            </w:r>
          </w:p>
        </w:tc>
        <w:tc>
          <w:tcPr>
            <w:tcW w:type="dxa" w:w="1728"/>
          </w:tcPr>
          <w:p>
            <w:r/>
            <w:r>
              <w:rPr>
                <w:rFonts w:ascii="Calibri" w:hAnsi="Calibri" w:eastAsia="宋体"/>
                <w:b w:val="0"/>
                <w:sz w:val="21"/>
              </w:rPr>
              <w:t>元/股</w:t>
            </w:r>
          </w:p>
        </w:tc>
        <w:tc>
          <w:tcPr>
            <w:tcW w:type="dxa" w:w="1728"/>
          </w:tcPr>
          <w:p>
            <w:r/>
            <w:r>
              <w:rPr>
                <w:rFonts w:ascii="Calibri" w:hAnsi="Calibri" w:eastAsia="宋体"/>
                <w:b w:val="0"/>
                <w:sz w:val="21"/>
              </w:rPr>
              <w:t>高优</w:t>
            </w:r>
          </w:p>
        </w:tc>
      </w:tr>
      <w:tr>
        <w:tc>
          <w:tcPr>
            <w:tcW w:type="dxa" w:w="1728"/>
          </w:tcPr>
          <w:p>
            <w:r/>
            <w:r>
              <w:rPr>
                <w:rFonts w:ascii="Calibri" w:hAnsi="Calibri" w:eastAsia="宋体"/>
                <w:b w:val="0"/>
                <w:sz w:val="21"/>
              </w:rPr>
              <w:t>估值水平</w:t>
            </w:r>
          </w:p>
        </w:tc>
        <w:tc>
          <w:tcPr>
            <w:tcW w:type="dxa" w:w="1728"/>
          </w:tcPr>
          <w:p>
            <w:r/>
            <w:r>
              <w:rPr>
                <w:rFonts w:ascii="Calibri" w:hAnsi="Calibri" w:eastAsia="宋体"/>
                <w:b w:val="0"/>
                <w:sz w:val="21"/>
              </w:rPr>
              <w:t>pe</w:t>
            </w:r>
          </w:p>
        </w:tc>
        <w:tc>
          <w:tcPr>
            <w:tcW w:type="dxa" w:w="1728"/>
          </w:tcPr>
          <w:p>
            <w:r/>
            <w:r>
              <w:rPr>
                <w:rFonts w:ascii="Calibri" w:hAnsi="Calibri" w:eastAsia="宋体"/>
                <w:b w:val="0"/>
                <w:sz w:val="21"/>
              </w:rPr>
              <w:t>市盈率</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低优</w:t>
            </w:r>
          </w:p>
        </w:tc>
      </w:tr>
      <w:tr>
        <w:tc>
          <w:tcPr>
            <w:tcW w:type="dxa" w:w="1728"/>
          </w:tcPr>
          <w:p>
            <w:r/>
            <w:r>
              <w:rPr>
                <w:rFonts w:ascii="Calibri" w:hAnsi="Calibri" w:eastAsia="宋体"/>
                <w:b w:val="0"/>
                <w:sz w:val="21"/>
              </w:rPr>
              <w:t>估值水平</w:t>
            </w:r>
          </w:p>
        </w:tc>
        <w:tc>
          <w:tcPr>
            <w:tcW w:type="dxa" w:w="1728"/>
          </w:tcPr>
          <w:p>
            <w:r/>
            <w:r>
              <w:rPr>
                <w:rFonts w:ascii="Calibri" w:hAnsi="Calibri" w:eastAsia="宋体"/>
                <w:b w:val="0"/>
                <w:sz w:val="21"/>
              </w:rPr>
              <w:t>pb</w:t>
            </w:r>
          </w:p>
        </w:tc>
        <w:tc>
          <w:tcPr>
            <w:tcW w:type="dxa" w:w="1728"/>
          </w:tcPr>
          <w:p>
            <w:r/>
            <w:r>
              <w:rPr>
                <w:rFonts w:ascii="Calibri" w:hAnsi="Calibri" w:eastAsia="宋体"/>
                <w:b w:val="0"/>
                <w:sz w:val="21"/>
              </w:rPr>
              <w:t>市净率</w:t>
            </w:r>
          </w:p>
        </w:tc>
        <w:tc>
          <w:tcPr>
            <w:tcW w:type="dxa" w:w="1728"/>
          </w:tcPr>
          <w:p>
            <w:r/>
            <w:r>
              <w:rPr>
                <w:rFonts w:ascii="Calibri" w:hAnsi="Calibri" w:eastAsia="宋体"/>
                <w:b w:val="0"/>
                <w:sz w:val="21"/>
              </w:rPr>
              <w:t>倍</w:t>
            </w:r>
          </w:p>
        </w:tc>
        <w:tc>
          <w:tcPr>
            <w:tcW w:type="dxa" w:w="1728"/>
          </w:tcPr>
          <w:p>
            <w:r/>
            <w:r>
              <w:rPr>
                <w:rFonts w:ascii="Calibri" w:hAnsi="Calibri" w:eastAsia="宋体"/>
                <w:b w:val="0"/>
                <w:sz w:val="21"/>
              </w:rPr>
              <w:t>低优</w:t>
            </w:r>
          </w:p>
        </w:tc>
      </w:tr>
    </w:tbl>
    <w:p/>
    <w:p>
      <w:pPr>
        <w:pStyle w:val="Heading3"/>
      </w:pPr>
      <w:r>
        <w:rPr>
          <w:rFonts w:ascii="Calibri" w:hAnsi="Calibri" w:eastAsia="黑体"/>
          <w:b/>
          <w:color w:val="1F3B63"/>
          <w:sz w:val="24"/>
        </w:rPr>
        <w:t>3.2 真实财报数据采集与预处理</w:t>
      </w:r>
    </w:p>
    <w:p>
      <w:r>
        <w:rPr>
          <w:rFonts w:ascii="Calibri" w:hAnsi="Calibri" w:eastAsia="宋体"/>
          <w:b w:val="0"/>
          <w:sz w:val="21"/>
        </w:rPr>
        <w:t>系统通过自研Python采集脚本（</w:t>
      </w:r>
      <w:r>
        <w:rPr>
          <w:rFonts w:ascii="Consolas" w:hAnsi="Consolas" w:eastAsia="宋体"/>
          <w:sz w:val="19"/>
        </w:rPr>
        <w:t>sql/fetch_real_data.py</w:t>
      </w:r>
      <w:r>
        <w:rPr>
          <w:rFonts w:ascii="Calibri" w:hAnsi="Calibri" w:eastAsia="宋体"/>
          <w:b w:val="0"/>
          <w:sz w:val="21"/>
        </w:rPr>
        <w:t>）从公开渠道获取真实数据：</w:t>
      </w:r>
    </w:p>
    <w:p>
      <w:r>
        <w:rPr>
          <w:rFonts w:ascii="Calibri" w:hAnsi="Calibri" w:eastAsia="宋体"/>
          <w:b w:val="0"/>
          <w:sz w:val="21"/>
        </w:rPr>
        <w:t>（1）</w:t>
      </w:r>
      <w:r>
        <w:rPr>
          <w:rFonts w:ascii="Calibri" w:hAnsi="Calibri" w:eastAsia="宋体"/>
          <w:b/>
          <w:sz w:val="21"/>
        </w:rPr>
        <w:t>三大报表</w:t>
      </w:r>
      <w:r>
        <w:rPr>
          <w:rFonts w:ascii="Calibri" w:hAnsi="Calibri" w:eastAsia="宋体"/>
          <w:b w:val="0"/>
          <w:sz w:val="21"/>
        </w:rPr>
        <w:t>：调用东方财富数据中心F10报表接口（RPT_F10_FINANCE_GINCOME/GBALANCE/GCASHFLOW），按公司代码拉取全量历史报告期数据。采集时以</w:t>
      </w:r>
      <w:r>
        <w:rPr>
          <w:rFonts w:ascii="Consolas" w:hAnsi="Consolas" w:eastAsia="宋体"/>
          <w:sz w:val="19"/>
        </w:rPr>
        <w:t>REPORT_DATE</w:t>
      </w:r>
      <w:r>
        <w:rPr>
          <w:rFonts w:ascii="Calibri" w:hAnsi="Calibri" w:eastAsia="宋体"/>
          <w:b w:val="0"/>
          <w:sz w:val="21"/>
        </w:rPr>
        <w:t>字段取</w:t>
      </w:r>
      <w:r>
        <w:rPr>
          <w:rFonts w:ascii="Calibri" w:hAnsi="Calibri" w:eastAsia="宋体"/>
          <w:b/>
          <w:sz w:val="21"/>
        </w:rPr>
        <w:t>当年最后一份报告</w:t>
      </w:r>
      <w:r>
        <w:rPr>
          <w:rFonts w:ascii="Calibri" w:hAnsi="Calibri" w:eastAsia="宋体"/>
          <w:b w:val="0"/>
          <w:sz w:val="21"/>
        </w:rPr>
        <w:t>（即12月31日年报）为准——若简单取每年首条记录，会因接口返回顺序而误取一季报数据；实际开发中发现该问题曾导致贵州茅台2021年营业收入被误记为272.7亿元（实为当年一季报值），修正后正确值为1061.9亿元，与公开年报一致。</w:t>
      </w:r>
    </w:p>
    <w:p>
      <w:r>
        <w:rPr>
          <w:rFonts w:ascii="Calibri" w:hAnsi="Calibri" w:eastAsia="宋体"/>
          <w:b w:val="0"/>
          <w:sz w:val="21"/>
        </w:rPr>
        <w:t>（2）</w:t>
      </w:r>
      <w:r>
        <w:rPr>
          <w:rFonts w:ascii="Calibri" w:hAnsi="Calibri" w:eastAsia="宋体"/>
          <w:b/>
          <w:sz w:val="21"/>
        </w:rPr>
        <w:t>字段兼容与缺失处理</w:t>
      </w:r>
      <w:r>
        <w:rPr>
          <w:rFonts w:ascii="Calibri" w:hAnsi="Calibri" w:eastAsia="宋体"/>
          <w:b w:val="0"/>
          <w:sz w:val="21"/>
        </w:rPr>
        <w:t>：东财接口字段名存在新旧版本差异（如交易性金融资产在</w:t>
      </w:r>
      <w:r>
        <w:rPr>
          <w:rFonts w:ascii="Consolas" w:hAnsi="Consolas" w:eastAsia="宋体"/>
          <w:sz w:val="19"/>
        </w:rPr>
        <w:t>TRADE_FINASSET</w:t>
      </w:r>
      <w:r>
        <w:rPr>
          <w:rFonts w:ascii="Calibri" w:hAnsi="Calibri" w:eastAsia="宋体"/>
          <w:b w:val="0"/>
          <w:sz w:val="21"/>
        </w:rPr>
        <w:t>与旧名</w:t>
      </w:r>
      <w:r>
        <w:rPr>
          <w:rFonts w:ascii="Consolas" w:hAnsi="Consolas" w:eastAsia="宋体"/>
          <w:sz w:val="19"/>
        </w:rPr>
        <w:t>TRADE_FINANCIAL_ASSET</w:t>
      </w:r>
      <w:r>
        <w:rPr>
          <w:rFonts w:ascii="Calibri" w:hAnsi="Calibri" w:eastAsia="宋体"/>
          <w:b w:val="0"/>
          <w:sz w:val="21"/>
        </w:rPr>
        <w:t>间变动，短期借款为</w:t>
      </w:r>
      <w:r>
        <w:rPr>
          <w:rFonts w:ascii="Consolas" w:hAnsi="Consolas" w:eastAsia="宋体"/>
          <w:sz w:val="19"/>
        </w:rPr>
        <w:t>SHORT_LOAN</w:t>
      </w:r>
      <w:r>
        <w:rPr>
          <w:rFonts w:ascii="Calibri" w:hAnsi="Calibri" w:eastAsia="宋体"/>
          <w:b w:val="0"/>
          <w:sz w:val="21"/>
        </w:rPr>
        <w:t>/</w:t>
      </w:r>
      <w:r>
        <w:rPr>
          <w:rFonts w:ascii="Consolas" w:hAnsi="Consolas" w:eastAsia="宋体"/>
          <w:sz w:val="19"/>
        </w:rPr>
        <w:t>SHORT_TERM_LOAN</w:t>
      </w:r>
      <w:r>
        <w:rPr>
          <w:rFonts w:ascii="Calibri" w:hAnsi="Calibri" w:eastAsia="宋体"/>
          <w:b w:val="0"/>
          <w:sz w:val="21"/>
        </w:rPr>
        <w:t>），脚本为每个目标科目维护候选字段列表按优先级取值；科目确实为空（如贵州茅台无短期借款、应收票据为0）时按0入库并输出缺失清单供人工复核，保证数据行完整。</w:t>
      </w:r>
    </w:p>
    <w:p>
      <w:r>
        <w:rPr>
          <w:rFonts w:ascii="Calibri" w:hAnsi="Calibri" w:eastAsia="宋体"/>
          <w:b w:val="0"/>
          <w:sz w:val="21"/>
        </w:rPr>
        <w:t>（3）</w:t>
      </w:r>
      <w:r>
        <w:rPr>
          <w:rFonts w:ascii="Calibri" w:hAnsi="Calibri" w:eastAsia="宋体"/>
          <w:b/>
          <w:sz w:val="21"/>
        </w:rPr>
        <w:t>年末估值</w:t>
      </w:r>
      <w:r>
        <w:rPr>
          <w:rFonts w:ascii="Calibri" w:hAnsi="Calibri" w:eastAsia="宋体"/>
          <w:b w:val="0"/>
          <w:sz w:val="21"/>
        </w:rPr>
        <w:t>：年末收盘价取自新浪财经日K线（不复权，需携带Referer头，否则被反爬拒绝）；总股本优先取自当年年报实收资本（面值1元，数值即股数，可自动反映历年送转导致的股本变化），年报缺失时以腾讯行情当前总股本近似并告警。总市值=年末收盘价×当年股本。</w:t>
      </w:r>
    </w:p>
    <w:p>
      <w:r>
        <w:rPr>
          <w:rFonts w:ascii="Calibri" w:hAnsi="Calibri" w:eastAsia="宋体"/>
          <w:b w:val="0"/>
          <w:sz w:val="21"/>
        </w:rPr>
        <w:t>（4）</w:t>
      </w:r>
      <w:r>
        <w:rPr>
          <w:rFonts w:ascii="Calibri" w:hAnsi="Calibri" w:eastAsia="宋体"/>
          <w:b/>
          <w:sz w:val="21"/>
        </w:rPr>
        <w:t>质量校验</w:t>
      </w:r>
      <w:r>
        <w:rPr>
          <w:rFonts w:ascii="Calibri" w:hAnsi="Calibri" w:eastAsia="宋体"/>
          <w:b w:val="0"/>
          <w:sz w:val="21"/>
        </w:rPr>
        <w:t>：脚本内置同比波动&gt;100%异常检测，生成的SQL入库后与公开财报逐项核对（见6.2节），确保"每一个数字可溯源"。</w:t>
      </w:r>
    </w:p>
    <w:p>
      <w:pPr>
        <w:pStyle w:val="Heading3"/>
      </w:pPr>
      <w:r>
        <w:rPr>
          <w:rFonts w:ascii="Calibri" w:hAnsi="Calibri" w:eastAsia="黑体"/>
          <w:b/>
          <w:color w:val="1F3B63"/>
          <w:sz w:val="24"/>
        </w:rPr>
        <w:t>3.3 行业对标计算引擎</w:t>
      </w:r>
    </w:p>
    <w:p>
      <w:r>
        <w:rPr>
          <w:rFonts w:ascii="Calibri" w:hAnsi="Calibri" w:eastAsia="宋体"/>
          <w:b w:val="0"/>
          <w:sz w:val="21"/>
        </w:rPr>
        <w:t>对标引擎按（行业，财年，指标）聚合同行业上市公司同一年度的指标值，计算样本均值、中位数与四分位数（P25/P75，采用线性插值分位数估计），并给出目标公司的三个定位量：</w:t>
      </w:r>
    </w:p>
    <w:p>
      <w:r>
        <w:rPr>
          <w:rFonts w:ascii="Calibri" w:hAnsi="Calibri" w:eastAsia="宋体"/>
          <w:b w:val="0"/>
          <w:sz w:val="21"/>
        </w:rPr>
        <w:t>（1）</w:t>
      </w:r>
      <w:r>
        <w:rPr>
          <w:rFonts w:ascii="Calibri" w:hAnsi="Calibri" w:eastAsia="宋体"/>
          <w:b/>
          <w:sz w:val="21"/>
        </w:rPr>
        <w:t>百分位</w:t>
      </w:r>
      <w:r>
        <w:rPr>
          <w:rFonts w:ascii="Calibri" w:hAnsi="Calibri" w:eastAsia="宋体"/>
          <w:b w:val="0"/>
          <w:sz w:val="21"/>
        </w:rPr>
        <w:t>：公司值在行业样本中的百分位排名（0~100，数值越高表示相对越优）；</w:t>
      </w:r>
    </w:p>
    <w:p>
      <w:r>
        <w:rPr>
          <w:rFonts w:ascii="Calibri" w:hAnsi="Calibri" w:eastAsia="宋体"/>
          <w:b w:val="0"/>
          <w:sz w:val="21"/>
        </w:rPr>
        <w:t>（2）</w:t>
      </w:r>
      <w:r>
        <w:rPr>
          <w:rFonts w:ascii="Calibri" w:hAnsi="Calibri" w:eastAsia="宋体"/>
          <w:b/>
          <w:sz w:val="21"/>
        </w:rPr>
        <w:t>行业评分</w:t>
      </w:r>
      <w:r>
        <w:rPr>
          <w:rFonts w:ascii="Calibri" w:hAnsi="Calibri" w:eastAsia="宋体"/>
          <w:b w:val="0"/>
          <w:sz w:val="21"/>
        </w:rPr>
        <w:t>：高优指标评分=百分位；低优指标评分=100−百分位，使"越高越优"语义统一，便于跨指标比较与综合评级；</w:t>
      </w:r>
    </w:p>
    <w:p>
      <w:r>
        <w:rPr>
          <w:rFonts w:ascii="Calibri" w:hAnsi="Calibri" w:eastAsia="宋体"/>
          <w:b w:val="0"/>
          <w:sz w:val="21"/>
        </w:rPr>
        <w:t>（3）</w:t>
      </w:r>
      <w:r>
        <w:rPr>
          <w:rFonts w:ascii="Calibri" w:hAnsi="Calibri" w:eastAsia="宋体"/>
          <w:b/>
          <w:sz w:val="21"/>
        </w:rPr>
        <w:t>行业排名</w:t>
      </w:r>
      <w:r>
        <w:rPr>
          <w:rFonts w:ascii="Calibri" w:hAnsi="Calibri" w:eastAsia="宋体"/>
          <w:b w:val="0"/>
          <w:sz w:val="21"/>
        </w:rPr>
        <w:t>：按指标方向感知的排序给出"名次/样本数"（如ROE第2/8名）。</w:t>
      </w:r>
    </w:p>
    <w:p>
      <w:r>
        <w:rPr>
          <w:rFonts w:ascii="Calibri" w:hAnsi="Calibri" w:eastAsia="宋体"/>
          <w:b w:val="0"/>
          <w:sz w:val="21"/>
        </w:rPr>
        <w:t>对标样本为同行业上市公司同一年度，样本量8家，避免跨行业口径污染；引擎由</w:t>
      </w:r>
      <w:r>
        <w:rPr>
          <w:rFonts w:ascii="Consolas" w:hAnsi="Consolas" w:eastAsia="宋体"/>
          <w:sz w:val="19"/>
        </w:rPr>
        <w:t>/api/finance/recalc</w:t>
      </w:r>
      <w:r>
        <w:rPr>
          <w:rFonts w:ascii="Calibri" w:hAnsi="Calibri" w:eastAsia="宋体"/>
          <w:b w:val="0"/>
          <w:sz w:val="21"/>
        </w:rPr>
        <w:t>触发全量重算，指标结果落库</w:t>
      </w:r>
      <w:r>
        <w:rPr>
          <w:rFonts w:ascii="Consolas" w:hAnsi="Consolas" w:eastAsia="宋体"/>
          <w:sz w:val="19"/>
        </w:rPr>
        <w:t>财务指标</w:t>
      </w:r>
      <w:r>
        <w:rPr>
          <w:rFonts w:ascii="Calibri" w:hAnsi="Calibri" w:eastAsia="宋体"/>
          <w:b w:val="0"/>
          <w:sz w:val="21"/>
        </w:rPr>
        <w:t>、</w:t>
      </w:r>
      <w:r>
        <w:rPr>
          <w:rFonts w:ascii="Consolas" w:hAnsi="Consolas" w:eastAsia="宋体"/>
          <w:sz w:val="19"/>
        </w:rPr>
        <w:t>行业对标</w:t>
      </w:r>
      <w:r>
        <w:rPr>
          <w:rFonts w:ascii="Calibri" w:hAnsi="Calibri" w:eastAsia="宋体"/>
          <w:b w:val="0"/>
          <w:sz w:val="21"/>
        </w:rPr>
        <w:t>两表。</w:t>
      </w:r>
    </w:p>
    <w:p>
      <w:pPr>
        <w:pStyle w:val="Heading2"/>
      </w:pPr>
      <w:r>
        <w:rPr>
          <w:rFonts w:ascii="Calibri" w:hAnsi="Calibri" w:eastAsia="黑体"/>
          <w:b/>
          <w:color w:val="1F3B63"/>
          <w:sz w:val="28"/>
        </w:rPr>
        <w:t>4 智能解读层：面向财报解读的Prompt工程</w:t>
      </w:r>
    </w:p>
    <w:p>
      <w:pPr>
        <w:pStyle w:val="Heading3"/>
      </w:pPr>
      <w:r>
        <w:rPr>
          <w:rFonts w:ascii="Calibri" w:hAnsi="Calibri" w:eastAsia="黑体"/>
          <w:b/>
          <w:color w:val="1F3B63"/>
          <w:sz w:val="24"/>
        </w:rPr>
        <w:t>4.1 三层Prompt模板设计</w:t>
      </w:r>
    </w:p>
    <w:p>
      <w:r>
        <w:rPr>
          <w:rFonts w:ascii="Calibri" w:hAnsi="Calibri" w:eastAsia="宋体"/>
          <w:b w:val="0"/>
          <w:sz w:val="21"/>
        </w:rPr>
        <w:t>面向财报解读的Prompt被拆分为三个职责单一、可独立维护的模板层，存储于数据库</w:t>
      </w:r>
      <w:r>
        <w:rPr>
          <w:rFonts w:ascii="Consolas" w:hAnsi="Consolas" w:eastAsia="宋体"/>
          <w:sz w:val="19"/>
        </w:rPr>
        <w:t>提示词模板</w:t>
      </w:r>
      <w:r>
        <w:rPr>
          <w:rFonts w:ascii="Calibri" w:hAnsi="Calibri" w:eastAsia="宋体"/>
          <w:b w:val="0"/>
          <w:sz w:val="21"/>
        </w:rPr>
        <w:t>表（带版本号与启用标记，支持在线热更新与对照实验），如表2所示。</w:t>
      </w:r>
    </w:p>
    <w:p>
      <w:r>
        <w:rPr>
          <w:rFonts w:ascii="Calibri" w:hAnsi="Calibri" w:eastAsia="宋体"/>
          <w:b w:val="0"/>
          <w:sz w:val="21"/>
        </w:rPr>
        <w:t>表2　三层Prompt模板设计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hd w:val="clear" w:fill="DEEAF6"/>
            </w:pPr>
            <w:r/>
            <w:r>
              <w:rPr>
                <w:rFonts w:ascii="Calibri" w:hAnsi="Calibri" w:eastAsia="宋体"/>
                <w:b/>
                <w:sz w:val="21"/>
              </w:rPr>
              <w:t>模板层</w:t>
            </w:r>
          </w:p>
        </w:tc>
        <w:tc>
          <w:tcPr>
            <w:tcW w:type="dxa" w:w="2160"/>
          </w:tcPr>
          <w:p>
            <w:pPr>
              <w:shd w:val="clear" w:fill="DEEAF6"/>
            </w:pPr>
            <w:r/>
            <w:r>
              <w:rPr>
                <w:rFonts w:ascii="Calibri" w:hAnsi="Calibri" w:eastAsia="宋体"/>
                <w:b/>
                <w:sz w:val="21"/>
              </w:rPr>
              <w:t>注入位置</w:t>
            </w:r>
          </w:p>
        </w:tc>
        <w:tc>
          <w:tcPr>
            <w:tcW w:type="dxa" w:w="2160"/>
          </w:tcPr>
          <w:p>
            <w:pPr>
              <w:shd w:val="clear" w:fill="DEEAF6"/>
            </w:pPr>
            <w:r/>
            <w:r>
              <w:rPr>
                <w:rFonts w:ascii="Calibri" w:hAnsi="Calibri" w:eastAsia="宋体"/>
                <w:b/>
                <w:sz w:val="21"/>
              </w:rPr>
              <w:t>核心作用</w:t>
            </w:r>
          </w:p>
        </w:tc>
        <w:tc>
          <w:tcPr>
            <w:tcW w:type="dxa" w:w="2160"/>
          </w:tcPr>
          <w:p>
            <w:pPr>
              <w:shd w:val="clear" w:fill="DEEAF6"/>
            </w:pPr>
            <w:r/>
            <w:r>
              <w:rPr>
                <w:rFonts w:ascii="Calibri" w:hAnsi="Calibri" w:eastAsia="宋体"/>
                <w:b/>
                <w:sz w:val="21"/>
              </w:rPr>
              <w:t>关键设计要点</w:t>
            </w:r>
          </w:p>
        </w:tc>
      </w:tr>
      <w:tr>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r>
      <w:tr>
        <w:tc>
          <w:tcPr>
            <w:tcW w:type="dxa" w:w="2160"/>
          </w:tcPr>
          <w:p>
            <w:r/>
            <w:r>
              <w:rPr>
                <w:rFonts w:ascii="Calibri" w:hAnsi="Calibri" w:eastAsia="宋体"/>
                <w:b w:val="0"/>
                <w:sz w:val="21"/>
              </w:rPr>
              <w:t>角色设定</w:t>
            </w:r>
          </w:p>
        </w:tc>
        <w:tc>
          <w:tcPr>
            <w:tcW w:type="dxa" w:w="2160"/>
          </w:tcPr>
          <w:p>
            <w:r/>
            <w:r>
              <w:rPr>
                <w:rFonts w:ascii="Calibri" w:hAnsi="Calibri" w:eastAsia="宋体"/>
                <w:b w:val="0"/>
                <w:sz w:val="21"/>
              </w:rPr>
              <w:t>system</w:t>
            </w:r>
          </w:p>
        </w:tc>
        <w:tc>
          <w:tcPr>
            <w:tcW w:type="dxa" w:w="2160"/>
          </w:tcPr>
          <w:p>
            <w:r/>
            <w:r>
              <w:rPr>
                <w:rFonts w:ascii="Calibri" w:hAnsi="Calibri" w:eastAsia="宋体"/>
                <w:b w:val="0"/>
                <w:sz w:val="21"/>
              </w:rPr>
              <w:t>限定身份与文风</w:t>
            </w:r>
          </w:p>
        </w:tc>
        <w:tc>
          <w:tcPr>
            <w:tcW w:type="dxa" w:w="2160"/>
          </w:tcPr>
          <w:p>
            <w:r/>
            <w:r>
              <w:rPr>
                <w:rFonts w:ascii="Calibri" w:hAnsi="Calibri" w:eastAsia="宋体"/>
                <w:b w:val="0"/>
                <w:sz w:val="21"/>
              </w:rPr>
              <w:t>资深A股财务分析师；客观、严谨、克制，不夸大、不唱多、不唱空，结论必须有数据支撑</w:t>
            </w:r>
          </w:p>
        </w:tc>
      </w:tr>
      <w:tr>
        <w:tc>
          <w:tcPr>
            <w:tcW w:type="dxa" w:w="2160"/>
          </w:tcPr>
          <w:p>
            <w:r/>
            <w:r>
              <w:rPr>
                <w:rFonts w:ascii="Calibri" w:hAnsi="Calibri" w:eastAsia="宋体"/>
                <w:b w:val="0"/>
                <w:sz w:val="21"/>
              </w:rPr>
              <w:t>数据注入</w:t>
            </w:r>
          </w:p>
        </w:tc>
        <w:tc>
          <w:tcPr>
            <w:tcW w:type="dxa" w:w="2160"/>
          </w:tcPr>
          <w:p>
            <w:r/>
            <w:r>
              <w:rPr>
                <w:rFonts w:ascii="Calibri" w:hAnsi="Calibri" w:eastAsia="宋体"/>
                <w:b w:val="0"/>
                <w:sz w:val="21"/>
              </w:rPr>
              <w:t>system</w:t>
            </w:r>
          </w:p>
        </w:tc>
        <w:tc>
          <w:tcPr>
            <w:tcW w:type="dxa" w:w="2160"/>
          </w:tcPr>
          <w:p>
            <w:r/>
            <w:r>
              <w:rPr>
                <w:rFonts w:ascii="Calibri" w:hAnsi="Calibri" w:eastAsia="宋体"/>
                <w:b w:val="0"/>
                <w:sz w:val="21"/>
              </w:rPr>
              <w:t>提供唯一事实来源</w:t>
            </w:r>
          </w:p>
        </w:tc>
        <w:tc>
          <w:tcPr>
            <w:tcW w:type="dxa" w:w="2160"/>
          </w:tcPr>
          <w:p>
            <w:r/>
            <w:r>
              <w:rPr>
                <w:rFonts w:ascii="Calibri" w:hAnsi="Calibri" w:eastAsia="宋体"/>
                <w:b w:val="0"/>
                <w:sz w:val="21"/>
              </w:rPr>
              <w:t>由计算层生成的指标+对标JSON；显式声明"这是本次分析唯一可信的数据来源"；说明百分位口径</w:t>
            </w:r>
          </w:p>
        </w:tc>
      </w:tr>
      <w:tr>
        <w:tc>
          <w:tcPr>
            <w:tcW w:type="dxa" w:w="2160"/>
          </w:tcPr>
          <w:p>
            <w:r/>
            <w:r>
              <w:rPr>
                <w:rFonts w:ascii="Calibri" w:hAnsi="Calibri" w:eastAsia="宋体"/>
                <w:b w:val="0"/>
                <w:sz w:val="21"/>
              </w:rPr>
              <w:t>输出约束</w:t>
            </w:r>
          </w:p>
        </w:tc>
        <w:tc>
          <w:tcPr>
            <w:tcW w:type="dxa" w:w="2160"/>
          </w:tcPr>
          <w:p>
            <w:r/>
            <w:r>
              <w:rPr>
                <w:rFonts w:ascii="Calibri" w:hAnsi="Calibri" w:eastAsia="宋体"/>
                <w:b w:val="0"/>
                <w:sz w:val="21"/>
              </w:rPr>
              <w:t>user</w:t>
            </w:r>
          </w:p>
        </w:tc>
        <w:tc>
          <w:tcPr>
            <w:tcW w:type="dxa" w:w="2160"/>
          </w:tcPr>
          <w:p>
            <w:r/>
            <w:r>
              <w:rPr>
                <w:rFonts w:ascii="Calibri" w:hAnsi="Calibri" w:eastAsia="宋体"/>
                <w:b w:val="0"/>
                <w:sz w:val="21"/>
              </w:rPr>
              <w:t>约束结构与行为</w:t>
            </w:r>
          </w:p>
        </w:tc>
        <w:tc>
          <w:tcPr>
            <w:tcW w:type="dxa" w:w="2160"/>
          </w:tcPr>
          <w:p>
            <w:r/>
            <w:r>
              <w:rPr>
                <w:rFonts w:ascii="Calibri" w:hAnsi="Calibri" w:eastAsia="宋体"/>
                <w:b w:val="0"/>
                <w:sz w:val="21"/>
              </w:rPr>
              <w:t>固定六段结构；每章必须引用具体数值与对标结果；给出综合评级；≤800字中文Markdown；禁止编造；数据缺失时显式声明"无法分析"</w:t>
            </w:r>
          </w:p>
        </w:tc>
      </w:tr>
    </w:tbl>
    <w:p/>
    <w:p>
      <w:r>
        <w:rPr>
          <w:rFonts w:ascii="Calibri" w:hAnsi="Calibri" w:eastAsia="宋体"/>
          <w:b w:val="0"/>
          <w:sz w:val="21"/>
        </w:rPr>
        <w:t>三层模板组合方式为：</w:t>
      </w:r>
      <w:r>
        <w:rPr>
          <w:rFonts w:ascii="Consolas" w:hAnsi="Consolas" w:eastAsia="宋体"/>
          <w:sz w:val="19"/>
        </w:rPr>
        <w:t>system = 角色设定 + 数据注入</w:t>
      </w:r>
      <w:r>
        <w:rPr>
          <w:rFonts w:ascii="Calibri" w:hAnsi="Calibri" w:eastAsia="宋体"/>
          <w:b w:val="0"/>
          <w:sz w:val="21"/>
        </w:rPr>
        <w:t>，</w:t>
      </w:r>
      <w:r>
        <w:rPr>
          <w:rFonts w:ascii="Consolas" w:hAnsi="Consolas" w:eastAsia="宋体"/>
          <w:sz w:val="19"/>
        </w:rPr>
        <w:t>user = 输出约束 + 用户指令</w:t>
      </w:r>
      <w:r>
        <w:rPr>
          <w:rFonts w:ascii="Calibri" w:hAnsi="Calibri" w:eastAsia="宋体"/>
          <w:b w:val="0"/>
          <w:sz w:val="21"/>
        </w:rPr>
        <w:t>。模板中的</w:t>
      </w:r>
      <w:r>
        <w:rPr>
          <w:rFonts w:ascii="Consolas" w:hAnsi="Consolas" w:eastAsia="宋体"/>
          <w:sz w:val="19"/>
        </w:rPr>
        <w:t>{fiscalYear}</w:t>
      </w:r>
      <w:r>
        <w:rPr>
          <w:rFonts w:ascii="Calibri" w:hAnsi="Calibri" w:eastAsia="宋体"/>
          <w:b w:val="0"/>
          <w:sz w:val="21"/>
        </w:rPr>
        <w:t>、</w:t>
      </w:r>
      <w:r>
        <w:rPr>
          <w:rFonts w:ascii="Consolas" w:hAnsi="Consolas" w:eastAsia="宋体"/>
          <w:sz w:val="19"/>
        </w:rPr>
        <w:t>{data_json}</w:t>
      </w:r>
      <w:r>
        <w:rPr>
          <w:rFonts w:ascii="Calibri" w:hAnsi="Calibri" w:eastAsia="宋体"/>
          <w:b w:val="0"/>
          <w:sz w:val="21"/>
        </w:rPr>
        <w:t>为运行时占位符，由服务端完成替换。</w:t>
      </w:r>
      <w:r>
        <w:rPr>
          <w:rFonts w:ascii="Calibri" w:hAnsi="Calibri" w:eastAsia="宋体"/>
          <w:b/>
          <w:sz w:val="21"/>
        </w:rPr>
        <w:t>将数据注入放在system层并置顶</w:t>
      </w:r>
      <w:r>
        <w:rPr>
          <w:rFonts w:ascii="Calibri" w:hAnsi="Calibri" w:eastAsia="宋体"/>
          <w:b w:val="0"/>
          <w:sz w:val="21"/>
        </w:rPr>
        <w:t>，使模型在整轮生成中始终持有事实上下文；输出约束放在user层并编号为负面指令（"严禁编造、推断或补充任何不存在的数字"），直接针对幻觉的生成源头施压。</w:t>
      </w:r>
    </w:p>
    <w:p>
      <w:pPr>
        <w:pStyle w:val="Heading3"/>
      </w:pPr>
      <w:r>
        <w:rPr>
          <w:rFonts w:ascii="Calibri" w:hAnsi="Calibri" w:eastAsia="黑体"/>
          <w:b/>
          <w:color w:val="1F3B63"/>
          <w:sz w:val="24"/>
        </w:rPr>
        <w:t>4.2 数据锚定与抗幻觉机制</w:t>
      </w:r>
    </w:p>
    <w:p>
      <w:r>
        <w:rPr>
          <w:rFonts w:ascii="Calibri" w:hAnsi="Calibri" w:eastAsia="宋体"/>
          <w:b w:val="0"/>
          <w:sz w:val="21"/>
        </w:rPr>
        <w:t>除模板设计外，系统还从工程上构建了四道防幻觉屏障：</w:t>
      </w:r>
    </w:p>
    <w:p>
      <w:r>
        <w:rPr>
          <w:rFonts w:ascii="Calibri" w:hAnsi="Calibri" w:eastAsia="宋体"/>
          <w:b w:val="0"/>
          <w:sz w:val="21"/>
        </w:rPr>
        <w:t>（1）</w:t>
      </w:r>
      <w:r>
        <w:rPr>
          <w:rFonts w:ascii="Calibri" w:hAnsi="Calibri" w:eastAsia="宋体"/>
          <w:b/>
          <w:sz w:val="21"/>
        </w:rPr>
        <w:t>计算与生成彻底解耦</w:t>
      </w:r>
      <w:r>
        <w:rPr>
          <w:rFonts w:ascii="Calibri" w:hAnsi="Calibri" w:eastAsia="宋体"/>
          <w:b w:val="0"/>
          <w:sz w:val="21"/>
        </w:rPr>
        <w:t>：所有数字由服务端计算并以JSON注入，模型输出中出现的任何数字理论上都应在注入JSON中可检索——解读报告保存时同时落库存入注入上下文（context字段），实现"报告—数据"双向留痕可审计；</w:t>
      </w:r>
    </w:p>
    <w:p>
      <w:r>
        <w:rPr>
          <w:rFonts w:ascii="Calibri" w:hAnsi="Calibri" w:eastAsia="宋体"/>
          <w:b w:val="0"/>
          <w:sz w:val="21"/>
        </w:rPr>
        <w:t>（2）</w:t>
      </w:r>
      <w:r>
        <w:rPr>
          <w:rFonts w:ascii="Calibri" w:hAnsi="Calibri" w:eastAsia="宋体"/>
          <w:b/>
          <w:sz w:val="21"/>
        </w:rPr>
        <w:t>负面指令+缺失声明</w:t>
      </w:r>
      <w:r>
        <w:rPr>
          <w:rFonts w:ascii="Calibri" w:hAnsi="Calibri" w:eastAsia="宋体"/>
          <w:b w:val="0"/>
          <w:sz w:val="21"/>
        </w:rPr>
        <w:t>：输出约束明确禁止编造，并要求维度数据缺失时输出"该维度数据不足，无法分析"，将模型从"强行补全"引导至"诚实承认"；</w:t>
      </w:r>
    </w:p>
    <w:p>
      <w:r>
        <w:rPr>
          <w:rFonts w:ascii="Calibri" w:hAnsi="Calibri" w:eastAsia="宋体"/>
          <w:b w:val="0"/>
          <w:sz w:val="21"/>
        </w:rPr>
        <w:t>（3）</w:t>
      </w:r>
      <w:r>
        <w:rPr>
          <w:rFonts w:ascii="Calibri" w:hAnsi="Calibri" w:eastAsia="宋体"/>
          <w:b/>
          <w:sz w:val="21"/>
        </w:rPr>
        <w:t>确定性Mock降级</w:t>
      </w:r>
      <w:r>
        <w:rPr>
          <w:rFonts w:ascii="Calibri" w:hAnsi="Calibri" w:eastAsia="宋体"/>
          <w:b w:val="0"/>
          <w:sz w:val="21"/>
        </w:rPr>
        <w:t>：当</w:t>
      </w:r>
      <w:r>
        <w:rPr>
          <w:rFonts w:ascii="Consolas" w:hAnsi="Consolas" w:eastAsia="宋体"/>
          <w:sz w:val="19"/>
        </w:rPr>
        <w:t>ai.provider=mock</w:t>
      </w:r>
      <w:r>
        <w:rPr>
          <w:rFonts w:ascii="Calibri" w:hAnsi="Calibri" w:eastAsia="宋体"/>
          <w:b w:val="0"/>
          <w:sz w:val="21"/>
        </w:rPr>
        <w:t>（离线演示）或大模型API调用失败时，系统自动切换至基于注入数据模板化的确定性生成器，其输出的每一个数字同样来自注入数据，从根本上排除幻觉，保证系统任何情况下可用、可用时可验证；</w:t>
      </w:r>
    </w:p>
    <w:p>
      <w:r>
        <w:rPr>
          <w:rFonts w:ascii="Calibri" w:hAnsi="Calibri" w:eastAsia="宋体"/>
          <w:b w:val="0"/>
          <w:sz w:val="21"/>
        </w:rPr>
        <w:t>（4）</w:t>
      </w:r>
      <w:r>
        <w:rPr>
          <w:rFonts w:ascii="Calibri" w:hAnsi="Calibri" w:eastAsia="宋体"/>
          <w:b/>
          <w:sz w:val="21"/>
        </w:rPr>
        <w:t>低温度采样</w:t>
      </w:r>
      <w:r>
        <w:rPr>
          <w:rFonts w:ascii="Calibri" w:hAnsi="Calibri" w:eastAsia="宋体"/>
          <w:b w:val="0"/>
          <w:sz w:val="21"/>
        </w:rPr>
        <w:t>：调用OpenAI兼容接口（DeepSeek等）时temperature取0.3，降低生成随机性。</w:t>
      </w:r>
    </w:p>
    <w:p>
      <w:pPr>
        <w:pStyle w:val="Heading3"/>
      </w:pPr>
      <w:r>
        <w:rPr>
          <w:rFonts w:ascii="Calibri" w:hAnsi="Calibri" w:eastAsia="黑体"/>
          <w:b/>
          <w:color w:val="1F3B63"/>
          <w:sz w:val="24"/>
        </w:rPr>
        <w:t>4.3 基于上下文的追问式对话</w:t>
      </w:r>
    </w:p>
    <w:p>
      <w:r>
        <w:rPr>
          <w:rFonts w:ascii="Calibri" w:hAnsi="Calibri" w:eastAsia="宋体"/>
          <w:b w:val="0"/>
          <w:sz w:val="21"/>
        </w:rPr>
        <w:t>在固定简报之外，系统提供对话式追问：对话沿用与简报相同的system上下文（同一份数据注入JSON），将用户问题与历史多轮消息一并提交，并在user层附加约束"只使用注入数据中的数字，不得编造；若数据不包含回答所需信息，请明确说明"。Mock模式下则通过指标别名与维度关键词（如"盈利"→ROE/毛利率/归母净利率）进行数据锚定的确定性问答。对话记录与简报统一存入解读报告表，便于追溯。</w:t>
      </w:r>
    </w:p>
    <w:p>
      <w:pPr>
        <w:pStyle w:val="Heading2"/>
      </w:pPr>
      <w:r>
        <w:rPr>
          <w:rFonts w:ascii="Calibri" w:hAnsi="Calibri" w:eastAsia="黑体"/>
          <w:b/>
          <w:color w:val="1F3B63"/>
          <w:sz w:val="28"/>
        </w:rPr>
        <w:t>5 系统实现与验证</w:t>
      </w:r>
    </w:p>
    <w:p>
      <w:pPr>
        <w:pStyle w:val="Heading3"/>
      </w:pPr>
      <w:r>
        <w:rPr>
          <w:rFonts w:ascii="Calibri" w:hAnsi="Calibri" w:eastAsia="黑体"/>
          <w:b/>
          <w:color w:val="1F3B63"/>
          <w:sz w:val="24"/>
        </w:rPr>
        <w:t>5.1 实现与部署</w:t>
      </w:r>
    </w:p>
    <w:p>
      <w:r>
        <w:rPr>
          <w:rFonts w:ascii="Calibri" w:hAnsi="Calibri" w:eastAsia="宋体"/>
          <w:b w:val="0"/>
          <w:sz w:val="21"/>
        </w:rPr>
        <w:t>后端采用Spring Boot 3.4 + MyBatis + MySQL 5.7 + Druid，JDK 17，服务端口8091，提供公司列表、财务画像（profile）、趋势（trend）、行业对标（benchmark）、行业排名（ranking）、条件筛选（screening）、指标重算（recalc）、AI简报生成（ai/report）、AI对话（ai/chat）等接口；前端采用Vue3 + ECharts，实现指标趋势图、多维雷达图、行业排名表与AI简报/对话组件；AI模块支持</w:t>
      </w:r>
      <w:r>
        <w:rPr>
          <w:rFonts w:ascii="Consolas" w:hAnsi="Consolas" w:eastAsia="宋体"/>
          <w:sz w:val="19"/>
        </w:rPr>
        <w:t>mock</w:t>
      </w:r>
      <w:r>
        <w:rPr>
          <w:rFonts w:ascii="Calibri" w:hAnsi="Calibri" w:eastAsia="宋体"/>
          <w:b w:val="0"/>
          <w:sz w:val="21"/>
        </w:rPr>
        <w:t>（离线确定性）与</w:t>
      </w:r>
      <w:r>
        <w:rPr>
          <w:rFonts w:ascii="Consolas" w:hAnsi="Consolas" w:eastAsia="宋体"/>
          <w:sz w:val="19"/>
        </w:rPr>
        <w:t>openai</w:t>
      </w:r>
      <w:r>
        <w:rPr>
          <w:rFonts w:ascii="Calibri" w:hAnsi="Calibri" w:eastAsia="宋体"/>
          <w:b w:val="0"/>
          <w:sz w:val="21"/>
        </w:rPr>
        <w:t>（任意OpenAI兼容接口，如DeepSeek）双模式，通过配置文件切换。系统整体可打包为单一jar运行，具备Docker容器化部署条件。</w:t>
      </w:r>
    </w:p>
    <w:p>
      <w:pPr>
        <w:pStyle w:val="Heading3"/>
      </w:pPr>
      <w:r>
        <w:rPr>
          <w:rFonts w:ascii="Calibri" w:hAnsi="Calibri" w:eastAsia="黑体"/>
          <w:b/>
          <w:color w:val="1F3B63"/>
          <w:sz w:val="24"/>
        </w:rPr>
        <w:t>5.2 数据规模与准确性验证</w:t>
      </w:r>
    </w:p>
    <w:p>
      <w:r>
        <w:rPr>
          <w:rFonts w:ascii="Calibri" w:hAnsi="Calibri" w:eastAsia="宋体"/>
          <w:b w:val="0"/>
          <w:sz w:val="21"/>
        </w:rPr>
        <w:t>系统以3个行业24家上市公司（电子设备8家、医药8家、酒饮8家）2021—2025年共5个财年的年报真实数据运行，库内数据规模见表3。数据由采集脚本从东方财富、新浪等公开接口获取，2026年9月完成全量替换与重算（财务原始数据2760条、估值快照120条），全部数据来源标记为"东方财富接口"，无模拟数据残留。</w:t>
      </w:r>
    </w:p>
    <w:p>
      <w:r>
        <w:rPr>
          <w:rFonts w:ascii="Calibri" w:hAnsi="Calibri" w:eastAsia="宋体"/>
          <w:b w:val="0"/>
          <w:sz w:val="21"/>
        </w:rPr>
        <w:t>表3　系统数据规模（截至2026年9月）</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hd w:val="clear" w:fill="DEEAF6"/>
            </w:pPr>
            <w:r/>
            <w:r>
              <w:rPr>
                <w:rFonts w:ascii="Calibri" w:hAnsi="Calibri" w:eastAsia="宋体"/>
                <w:b/>
                <w:sz w:val="21"/>
              </w:rPr>
              <w:t>数据项</w:t>
            </w:r>
          </w:p>
        </w:tc>
        <w:tc>
          <w:tcPr>
            <w:tcW w:type="dxa" w:w="2880"/>
          </w:tcPr>
          <w:p>
            <w:pPr>
              <w:shd w:val="clear" w:fill="DEEAF6"/>
            </w:pPr>
            <w:r/>
            <w:r>
              <w:rPr>
                <w:rFonts w:ascii="Calibri" w:hAnsi="Calibri" w:eastAsia="宋体"/>
                <w:b/>
                <w:sz w:val="21"/>
              </w:rPr>
              <w:t>数量</w:t>
            </w:r>
          </w:p>
        </w:tc>
        <w:tc>
          <w:tcPr>
            <w:tcW w:type="dxa" w:w="2880"/>
          </w:tcPr>
          <w:p>
            <w:pPr>
              <w:shd w:val="clear" w:fill="DEEAF6"/>
            </w:pPr>
            <w:r/>
            <w:r>
              <w:rPr>
                <w:rFonts w:ascii="Calibri" w:hAnsi="Calibri" w:eastAsia="宋体"/>
                <w:b/>
                <w:sz w:val="21"/>
              </w:rPr>
              <w:t>说明</w:t>
            </w:r>
          </w:p>
        </w:tc>
      </w:tr>
      <w:tr>
        <w:tc>
          <w:tcPr>
            <w:tcW w:type="dxa" w:w="2880"/>
          </w:tcPr>
          <w:p>
            <w:r/>
            <w:r>
              <w:rPr>
                <w:rFonts w:ascii="Calibri" w:hAnsi="Calibri" w:eastAsia="宋体"/>
                <w:b w:val="0"/>
                <w:sz w:val="21"/>
              </w:rPr>
              <w:t>--------</w:t>
            </w:r>
          </w:p>
        </w:tc>
        <w:tc>
          <w:tcPr>
            <w:tcW w:type="dxa" w:w="2880"/>
          </w:tcPr>
          <w:p>
            <w:r/>
            <w:r>
              <w:rPr>
                <w:rFonts w:ascii="Calibri" w:hAnsi="Calibri" w:eastAsia="宋体"/>
                <w:b w:val="0"/>
                <w:sz w:val="21"/>
              </w:rPr>
              <w:t>------</w:t>
            </w:r>
          </w:p>
        </w:tc>
        <w:tc>
          <w:tcPr>
            <w:tcW w:type="dxa" w:w="2880"/>
          </w:tcPr>
          <w:p>
            <w:r/>
            <w:r>
              <w:rPr>
                <w:rFonts w:ascii="Calibri" w:hAnsi="Calibri" w:eastAsia="宋体"/>
                <w:b w:val="0"/>
                <w:sz w:val="21"/>
              </w:rPr>
              <w:t>------</w:t>
            </w:r>
          </w:p>
        </w:tc>
      </w:tr>
      <w:tr>
        <w:tc>
          <w:tcPr>
            <w:tcW w:type="dxa" w:w="2880"/>
          </w:tcPr>
          <w:p>
            <w:r/>
            <w:r>
              <w:rPr>
                <w:rFonts w:ascii="Calibri" w:hAnsi="Calibri" w:eastAsia="宋体"/>
                <w:b w:val="0"/>
                <w:sz w:val="21"/>
              </w:rPr>
              <w:t>上市公司</w:t>
            </w:r>
          </w:p>
        </w:tc>
        <w:tc>
          <w:tcPr>
            <w:tcW w:type="dxa" w:w="2880"/>
          </w:tcPr>
          <w:p>
            <w:r/>
            <w:r>
              <w:rPr>
                <w:rFonts w:ascii="Calibri" w:hAnsi="Calibri" w:eastAsia="宋体"/>
                <w:b w:val="0"/>
                <w:sz w:val="21"/>
              </w:rPr>
              <w:t>24家</w:t>
            </w:r>
          </w:p>
        </w:tc>
        <w:tc>
          <w:tcPr>
            <w:tcW w:type="dxa" w:w="2880"/>
          </w:tcPr>
          <w:p>
            <w:r/>
            <w:r>
              <w:rPr>
                <w:rFonts w:ascii="Calibri" w:hAnsi="Calibri" w:eastAsia="宋体"/>
                <w:b w:val="0"/>
                <w:sz w:val="21"/>
              </w:rPr>
              <w:t>3个行业×8家</w:t>
            </w:r>
          </w:p>
        </w:tc>
      </w:tr>
      <w:tr>
        <w:tc>
          <w:tcPr>
            <w:tcW w:type="dxa" w:w="2880"/>
          </w:tcPr>
          <w:p>
            <w:r/>
            <w:r>
              <w:rPr>
                <w:rFonts w:ascii="Calibri" w:hAnsi="Calibri" w:eastAsia="宋体"/>
                <w:b w:val="0"/>
                <w:sz w:val="21"/>
              </w:rPr>
              <w:t>财年范围</w:t>
            </w:r>
          </w:p>
        </w:tc>
        <w:tc>
          <w:tcPr>
            <w:tcW w:type="dxa" w:w="2880"/>
          </w:tcPr>
          <w:p>
            <w:r/>
            <w:r>
              <w:rPr>
                <w:rFonts w:ascii="Calibri" w:hAnsi="Calibri" w:eastAsia="宋体"/>
                <w:b w:val="0"/>
                <w:sz w:val="21"/>
              </w:rPr>
              <w:t>2021—2025</w:t>
            </w:r>
          </w:p>
        </w:tc>
        <w:tc>
          <w:tcPr>
            <w:tcW w:type="dxa" w:w="2880"/>
          </w:tcPr>
          <w:p>
            <w:r/>
            <w:r>
              <w:rPr>
                <w:rFonts w:ascii="Calibri" w:hAnsi="Calibri" w:eastAsia="宋体"/>
                <w:b w:val="0"/>
                <w:sz w:val="21"/>
              </w:rPr>
              <w:t>年报（每年12-31）</w:t>
            </w:r>
          </w:p>
        </w:tc>
      </w:tr>
      <w:tr>
        <w:tc>
          <w:tcPr>
            <w:tcW w:type="dxa" w:w="2880"/>
          </w:tcPr>
          <w:p>
            <w:r/>
            <w:r>
              <w:rPr>
                <w:rFonts w:ascii="Calibri" w:hAnsi="Calibri" w:eastAsia="宋体"/>
                <w:b w:val="0"/>
                <w:sz w:val="21"/>
              </w:rPr>
              <w:t>报表科目（原始）</w:t>
            </w:r>
          </w:p>
        </w:tc>
        <w:tc>
          <w:tcPr>
            <w:tcW w:type="dxa" w:w="2880"/>
          </w:tcPr>
          <w:p>
            <w:r/>
            <w:r>
              <w:rPr>
                <w:rFonts w:ascii="Calibri" w:hAnsi="Calibri" w:eastAsia="宋体"/>
                <w:b w:val="0"/>
                <w:sz w:val="21"/>
              </w:rPr>
              <w:t>2760条</w:t>
            </w:r>
          </w:p>
        </w:tc>
        <w:tc>
          <w:tcPr>
            <w:tcW w:type="dxa" w:w="2880"/>
          </w:tcPr>
          <w:p>
            <w:r/>
            <w:r>
              <w:rPr>
                <w:rFonts w:ascii="Calibri" w:hAnsi="Calibri" w:eastAsia="宋体"/>
                <w:b w:val="0"/>
                <w:sz w:val="21"/>
              </w:rPr>
              <w:t>24家×5年×23科目</w:t>
            </w:r>
          </w:p>
        </w:tc>
      </w:tr>
      <w:tr>
        <w:tc>
          <w:tcPr>
            <w:tcW w:type="dxa" w:w="2880"/>
          </w:tcPr>
          <w:p>
            <w:r/>
            <w:r>
              <w:rPr>
                <w:rFonts w:ascii="Calibri" w:hAnsi="Calibri" w:eastAsia="宋体"/>
                <w:b w:val="0"/>
                <w:sz w:val="21"/>
              </w:rPr>
              <w:t>估值快照</w:t>
            </w:r>
          </w:p>
        </w:tc>
        <w:tc>
          <w:tcPr>
            <w:tcW w:type="dxa" w:w="2880"/>
          </w:tcPr>
          <w:p>
            <w:r/>
            <w:r>
              <w:rPr>
                <w:rFonts w:ascii="Calibri" w:hAnsi="Calibri" w:eastAsia="宋体"/>
                <w:b w:val="0"/>
                <w:sz w:val="21"/>
              </w:rPr>
              <w:t>120条</w:t>
            </w:r>
          </w:p>
        </w:tc>
        <w:tc>
          <w:tcPr>
            <w:tcW w:type="dxa" w:w="2880"/>
          </w:tcPr>
          <w:p>
            <w:r/>
            <w:r>
              <w:rPr>
                <w:rFonts w:ascii="Calibri" w:hAnsi="Calibri" w:eastAsia="宋体"/>
                <w:b w:val="0"/>
                <w:sz w:val="21"/>
              </w:rPr>
              <w:t>24家×5年年末收盘价/总市值</w:t>
            </w:r>
          </w:p>
        </w:tc>
      </w:tr>
      <w:tr>
        <w:tc>
          <w:tcPr>
            <w:tcW w:type="dxa" w:w="2880"/>
          </w:tcPr>
          <w:p>
            <w:r/>
            <w:r>
              <w:rPr>
                <w:rFonts w:ascii="Calibri" w:hAnsi="Calibri" w:eastAsia="宋体"/>
                <w:b w:val="0"/>
                <w:sz w:val="21"/>
              </w:rPr>
              <w:t>财务指标</w:t>
            </w:r>
          </w:p>
        </w:tc>
        <w:tc>
          <w:tcPr>
            <w:tcW w:type="dxa" w:w="2880"/>
          </w:tcPr>
          <w:p>
            <w:r/>
            <w:r>
              <w:rPr>
                <w:rFonts w:ascii="Calibri" w:hAnsi="Calibri" w:eastAsia="宋体"/>
                <w:b w:val="0"/>
                <w:sz w:val="21"/>
              </w:rPr>
              <w:t>1392条</w:t>
            </w:r>
          </w:p>
        </w:tc>
        <w:tc>
          <w:tcPr>
            <w:tcW w:type="dxa" w:w="2880"/>
          </w:tcPr>
          <w:p>
            <w:r/>
            <w:r>
              <w:rPr>
                <w:rFonts w:ascii="Calibri" w:hAnsi="Calibri" w:eastAsia="宋体"/>
                <w:b w:val="0"/>
                <w:sz w:val="21"/>
              </w:rPr>
              <w:t>重算后</w:t>
            </w:r>
          </w:p>
        </w:tc>
      </w:tr>
      <w:tr>
        <w:tc>
          <w:tcPr>
            <w:tcW w:type="dxa" w:w="2880"/>
          </w:tcPr>
          <w:p>
            <w:r/>
            <w:r>
              <w:rPr>
                <w:rFonts w:ascii="Calibri" w:hAnsi="Calibri" w:eastAsia="宋体"/>
                <w:b w:val="0"/>
                <w:sz w:val="21"/>
              </w:rPr>
              <w:t>行业对标统计</w:t>
            </w:r>
          </w:p>
        </w:tc>
        <w:tc>
          <w:tcPr>
            <w:tcW w:type="dxa" w:w="2880"/>
          </w:tcPr>
          <w:p>
            <w:r/>
            <w:r>
              <w:rPr>
                <w:rFonts w:ascii="Calibri" w:hAnsi="Calibri" w:eastAsia="宋体"/>
                <w:b w:val="0"/>
                <w:sz w:val="21"/>
              </w:rPr>
              <w:t>174条</w:t>
            </w:r>
          </w:p>
        </w:tc>
        <w:tc>
          <w:tcPr>
            <w:tcW w:type="dxa" w:w="2880"/>
          </w:tcPr>
          <w:p>
            <w:r/>
            <w:r>
              <w:rPr>
                <w:rFonts w:ascii="Calibri" w:hAnsi="Calibri" w:eastAsia="宋体"/>
                <w:b w:val="0"/>
                <w:sz w:val="21"/>
              </w:rPr>
              <w:t>行业×财年×指标</w:t>
            </w:r>
          </w:p>
        </w:tc>
      </w:tr>
    </w:tbl>
    <w:p/>
    <w:p>
      <w:r>
        <w:rPr>
          <w:rFonts w:ascii="Calibri" w:hAnsi="Calibri" w:eastAsia="宋体"/>
          <w:b w:val="0"/>
          <w:sz w:val="21"/>
        </w:rPr>
        <w:t>将系统计算结果与上市公司公开披露年报逐项核对，抽查结果全部一致（误差为0），见表4。以贵州茅台2023年为例：系统计算的营业收入1476.94亿元、归母净利润747.34亿元、基本每股收益59.49元、毛利率91.96%、ROE 36.18%等，与公开年报完全吻合；年末估值快照（2023-12-31收盘1726元×12.56亿股=2.17万亿元市值）亦与市场数据一致。</w:t>
      </w:r>
    </w:p>
    <w:p>
      <w:r>
        <w:rPr>
          <w:rFonts w:ascii="Calibri" w:hAnsi="Calibri" w:eastAsia="宋体"/>
          <w:b w:val="0"/>
          <w:sz w:val="21"/>
        </w:rPr>
        <w:t>表4　关键数值与公开年报核对（系统计算值）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hd w:val="clear" w:fill="DEEAF6"/>
            </w:pPr>
            <w:r/>
            <w:r>
              <w:rPr>
                <w:rFonts w:ascii="Calibri" w:hAnsi="Calibri" w:eastAsia="宋体"/>
                <w:b/>
                <w:sz w:val="21"/>
              </w:rPr>
              <w:t>公司</w:t>
            </w:r>
          </w:p>
        </w:tc>
        <w:tc>
          <w:tcPr>
            <w:tcW w:type="dxa" w:w="2160"/>
          </w:tcPr>
          <w:p>
            <w:pPr>
              <w:shd w:val="clear" w:fill="DEEAF6"/>
            </w:pPr>
            <w:r/>
            <w:r>
              <w:rPr>
                <w:rFonts w:ascii="Calibri" w:hAnsi="Calibri" w:eastAsia="宋体"/>
                <w:b/>
                <w:sz w:val="21"/>
              </w:rPr>
              <w:t>财年</w:t>
            </w:r>
          </w:p>
        </w:tc>
        <w:tc>
          <w:tcPr>
            <w:tcW w:type="dxa" w:w="2160"/>
          </w:tcPr>
          <w:p>
            <w:pPr>
              <w:shd w:val="clear" w:fill="DEEAF6"/>
            </w:pPr>
            <w:r/>
            <w:r>
              <w:rPr>
                <w:rFonts w:ascii="Calibri" w:hAnsi="Calibri" w:eastAsia="宋体"/>
                <w:b/>
                <w:sz w:val="21"/>
              </w:rPr>
              <w:t>核对项目</w:t>
            </w:r>
          </w:p>
        </w:tc>
        <w:tc>
          <w:tcPr>
            <w:tcW w:type="dxa" w:w="2160"/>
          </w:tcPr>
          <w:p>
            <w:pPr>
              <w:shd w:val="clear" w:fill="DEEAF6"/>
            </w:pPr>
            <w:r/>
            <w:r>
              <w:rPr>
                <w:rFonts w:ascii="Calibri" w:hAnsi="Calibri" w:eastAsia="宋体"/>
                <w:b/>
                <w:sz w:val="21"/>
              </w:rPr>
              <w:t>系统计算值</w:t>
            </w:r>
          </w:p>
        </w:tc>
      </w:tr>
      <w:tr>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c>
          <w:tcPr>
            <w:tcW w:type="dxa" w:w="2160"/>
          </w:tcPr>
          <w:p>
            <w:r/>
            <w:r>
              <w:rPr>
                <w:rFonts w:ascii="Calibri" w:hAnsi="Calibri" w:eastAsia="宋体"/>
                <w:b w:val="0"/>
                <w:sz w:val="21"/>
              </w:rPr>
              <w:t>------------</w:t>
            </w:r>
          </w:p>
        </w:tc>
      </w:tr>
      <w:tr>
        <w:tc>
          <w:tcPr>
            <w:tcW w:type="dxa" w:w="2160"/>
          </w:tcPr>
          <w:p>
            <w:r/>
            <w:r>
              <w:rPr>
                <w:rFonts w:ascii="Calibri" w:hAnsi="Calibri" w:eastAsia="宋体"/>
                <w:b w:val="0"/>
                <w:sz w:val="21"/>
              </w:rPr>
              <w:t>贵州茅台</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1476.94亿元</w:t>
            </w:r>
          </w:p>
        </w:tc>
      </w:tr>
      <w:tr>
        <w:tc>
          <w:tcPr>
            <w:tcW w:type="dxa" w:w="2160"/>
          </w:tcPr>
          <w:p>
            <w:r/>
            <w:r>
              <w:rPr>
                <w:rFonts w:ascii="Calibri" w:hAnsi="Calibri" w:eastAsia="宋体"/>
                <w:b w:val="0"/>
                <w:sz w:val="21"/>
              </w:rPr>
              <w:t>贵州茅台</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归母净利润</w:t>
            </w:r>
          </w:p>
        </w:tc>
        <w:tc>
          <w:tcPr>
            <w:tcW w:type="dxa" w:w="2160"/>
          </w:tcPr>
          <w:p>
            <w:r/>
            <w:r>
              <w:rPr>
                <w:rFonts w:ascii="Calibri" w:hAnsi="Calibri" w:eastAsia="宋体"/>
                <w:b w:val="0"/>
                <w:sz w:val="21"/>
              </w:rPr>
              <w:t>747.34亿元</w:t>
            </w:r>
          </w:p>
        </w:tc>
      </w:tr>
      <w:tr>
        <w:tc>
          <w:tcPr>
            <w:tcW w:type="dxa" w:w="2160"/>
          </w:tcPr>
          <w:p>
            <w:r/>
            <w:r>
              <w:rPr>
                <w:rFonts w:ascii="Calibri" w:hAnsi="Calibri" w:eastAsia="宋体"/>
                <w:b w:val="0"/>
                <w:sz w:val="21"/>
              </w:rPr>
              <w:t>贵州茅台</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毛利率 / ROE</w:t>
            </w:r>
          </w:p>
        </w:tc>
        <w:tc>
          <w:tcPr>
            <w:tcW w:type="dxa" w:w="2160"/>
          </w:tcPr>
          <w:p>
            <w:r/>
            <w:r>
              <w:rPr>
                <w:rFonts w:ascii="Calibri" w:hAnsi="Calibri" w:eastAsia="宋体"/>
                <w:b w:val="0"/>
                <w:sz w:val="21"/>
              </w:rPr>
              <w:t>91.96% / 36.18%</w:t>
            </w:r>
          </w:p>
        </w:tc>
      </w:tr>
      <w:tr>
        <w:tc>
          <w:tcPr>
            <w:tcW w:type="dxa" w:w="2160"/>
          </w:tcPr>
          <w:p>
            <w:r/>
            <w:r>
              <w:rPr>
                <w:rFonts w:ascii="Calibri" w:hAnsi="Calibri" w:eastAsia="宋体"/>
                <w:b w:val="0"/>
                <w:sz w:val="21"/>
              </w:rPr>
              <w:t>恒瑞医药</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228.20亿元</w:t>
            </w:r>
          </w:p>
        </w:tc>
      </w:tr>
      <w:tr>
        <w:tc>
          <w:tcPr>
            <w:tcW w:type="dxa" w:w="2160"/>
          </w:tcPr>
          <w:p>
            <w:r/>
            <w:r>
              <w:rPr>
                <w:rFonts w:ascii="Calibri" w:hAnsi="Calibri" w:eastAsia="宋体"/>
                <w:b w:val="0"/>
                <w:sz w:val="21"/>
              </w:rPr>
              <w:t>五粮液</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832.72亿元</w:t>
            </w:r>
          </w:p>
        </w:tc>
      </w:tr>
      <w:tr>
        <w:tc>
          <w:tcPr>
            <w:tcW w:type="dxa" w:w="2160"/>
          </w:tcPr>
          <w:p>
            <w:r/>
            <w:r>
              <w:rPr>
                <w:rFonts w:ascii="Calibri" w:hAnsi="Calibri" w:eastAsia="宋体"/>
                <w:b w:val="0"/>
                <w:sz w:val="21"/>
              </w:rPr>
              <w:t>迈瑞医疗</w:t>
            </w:r>
          </w:p>
        </w:tc>
        <w:tc>
          <w:tcPr>
            <w:tcW w:type="dxa" w:w="2160"/>
          </w:tcPr>
          <w:p>
            <w:r/>
            <w:r>
              <w:rPr>
                <w:rFonts w:ascii="Calibri" w:hAnsi="Calibri" w:eastAsia="宋体"/>
                <w:b w:val="0"/>
                <w:sz w:val="21"/>
              </w:rPr>
              <w:t>2022</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303.66亿元</w:t>
            </w:r>
          </w:p>
        </w:tc>
      </w:tr>
      <w:tr>
        <w:tc>
          <w:tcPr>
            <w:tcW w:type="dxa" w:w="2160"/>
          </w:tcPr>
          <w:p>
            <w:r/>
            <w:r>
              <w:rPr>
                <w:rFonts w:ascii="Calibri" w:hAnsi="Calibri" w:eastAsia="宋体"/>
                <w:b w:val="0"/>
                <w:sz w:val="21"/>
              </w:rPr>
              <w:t>青岛啤酒</w:t>
            </w:r>
          </w:p>
        </w:tc>
        <w:tc>
          <w:tcPr>
            <w:tcW w:type="dxa" w:w="2160"/>
          </w:tcPr>
          <w:p>
            <w:r/>
            <w:r>
              <w:rPr>
                <w:rFonts w:ascii="Calibri" w:hAnsi="Calibri" w:eastAsia="宋体"/>
                <w:b w:val="0"/>
                <w:sz w:val="21"/>
              </w:rPr>
              <w:t>2023</w:t>
            </w:r>
          </w:p>
        </w:tc>
        <w:tc>
          <w:tcPr>
            <w:tcW w:type="dxa" w:w="2160"/>
          </w:tcPr>
          <w:p>
            <w:r/>
            <w:r>
              <w:rPr>
                <w:rFonts w:ascii="Calibri" w:hAnsi="Calibri" w:eastAsia="宋体"/>
                <w:b w:val="0"/>
                <w:sz w:val="21"/>
              </w:rPr>
              <w:t>营业收入</w:t>
            </w:r>
          </w:p>
        </w:tc>
        <w:tc>
          <w:tcPr>
            <w:tcW w:type="dxa" w:w="2160"/>
          </w:tcPr>
          <w:p>
            <w:r/>
            <w:r>
              <w:rPr>
                <w:rFonts w:ascii="Calibri" w:hAnsi="Calibri" w:eastAsia="宋体"/>
                <w:b w:val="0"/>
                <w:sz w:val="21"/>
              </w:rPr>
              <w:t>339.37亿元</w:t>
            </w:r>
          </w:p>
        </w:tc>
      </w:tr>
      <w:tr>
        <w:tc>
          <w:tcPr>
            <w:tcW w:type="dxa" w:w="2160"/>
          </w:tcPr>
          <w:p>
            <w:r/>
            <w:r>
              <w:rPr>
                <w:rFonts w:ascii="Calibri" w:hAnsi="Calibri" w:eastAsia="宋体"/>
                <w:b w:val="0"/>
                <w:sz w:val="21"/>
              </w:rPr>
              <w:t>立讯精密</w:t>
            </w:r>
          </w:p>
        </w:tc>
        <w:tc>
          <w:tcPr>
            <w:tcW w:type="dxa" w:w="2160"/>
          </w:tcPr>
          <w:p>
            <w:r/>
            <w:r>
              <w:rPr>
                <w:rFonts w:ascii="Calibri" w:hAnsi="Calibri" w:eastAsia="宋体"/>
                <w:b w:val="0"/>
                <w:sz w:val="21"/>
              </w:rPr>
              <w:t>2021</w:t>
            </w:r>
          </w:p>
        </w:tc>
        <w:tc>
          <w:tcPr>
            <w:tcW w:type="dxa" w:w="2160"/>
          </w:tcPr>
          <w:p>
            <w:r/>
            <w:r>
              <w:rPr>
                <w:rFonts w:ascii="Calibri" w:hAnsi="Calibri" w:eastAsia="宋体"/>
                <w:b w:val="0"/>
                <w:sz w:val="21"/>
              </w:rPr>
              <w:t>归母净利润</w:t>
            </w:r>
          </w:p>
        </w:tc>
        <w:tc>
          <w:tcPr>
            <w:tcW w:type="dxa" w:w="2160"/>
          </w:tcPr>
          <w:p>
            <w:r/>
            <w:r>
              <w:rPr>
                <w:rFonts w:ascii="Calibri" w:hAnsi="Calibri" w:eastAsia="宋体"/>
                <w:b w:val="0"/>
                <w:sz w:val="21"/>
              </w:rPr>
              <w:t>70.71亿元</w:t>
            </w:r>
          </w:p>
        </w:tc>
      </w:tr>
    </w:tbl>
    <w:p/>
    <w:p>
      <w:pPr>
        <w:pStyle w:val="Heading3"/>
      </w:pPr>
      <w:r>
        <w:rPr>
          <w:rFonts w:ascii="Calibri" w:hAnsi="Calibri" w:eastAsia="黑体"/>
          <w:b/>
          <w:color w:val="1F3B63"/>
          <w:sz w:val="24"/>
        </w:rPr>
        <w:t>5.3 系统输出示例</w:t>
      </w:r>
    </w:p>
    <w:p>
      <w:r>
        <w:rPr>
          <w:rFonts w:ascii="Calibri" w:hAnsi="Calibri" w:eastAsia="宋体"/>
          <w:b w:val="0"/>
          <w:sz w:val="21"/>
        </w:rPr>
        <w:t>以贵州茅台2023年为例，系统（mock确定性模式）自动生成的解读简报（节选）如下。可见报告严格遵循六段结构，每个结论均引用注入数据中的具体数值与对标位置，未出现任何注入数据之外的数字：</w:t>
      </w:r>
    </w:p>
    <w:p>
      <w:pPr>
        <w:shd w:val="clear" w:fill="F2F2F2"/>
      </w:pPr>
      <w:r>
        <w:rPr>
          <w:rFonts w:ascii="Consolas" w:hAnsi="Consolas" w:eastAsia="宋体"/>
          <w:sz w:val="18"/>
        </w:rPr>
        <w:t># 贵州茅台(600519) 2023年度财报解读简报</w:t>
      </w:r>
    </w:p>
    <w:p>
      <w:pPr>
        <w:shd w:val="clear" w:fill="F2F2F2"/>
      </w:pPr>
      <w:r>
        <w:rPr>
          <w:rFonts w:ascii="Consolas" w:hAnsi="Consolas" w:eastAsia="宋体"/>
          <w:sz w:val="18"/>
        </w:rPr>
        <w:t>## 一、公司概览</w:t>
      </w:r>
    </w:p>
    <w:p>
      <w:pPr>
        <w:shd w:val="clear" w:fill="F2F2F2"/>
      </w:pPr>
      <w:r>
        <w:rPr>
          <w:rFonts w:ascii="Consolas" w:hAnsi="Consolas" w:eastAsia="宋体"/>
          <w:sz w:val="18"/>
        </w:rPr>
        <w:t>- 所属行业: 酒、饮料和精制茶制造业</w:t>
      </w:r>
    </w:p>
    <w:p>
      <w:pPr>
        <w:shd w:val="clear" w:fill="F2F2F2"/>
      </w:pPr>
      <w:r>
        <w:rPr>
          <w:rFonts w:ascii="Consolas" w:hAnsi="Consolas" w:eastAsia="宋体"/>
          <w:sz w:val="18"/>
        </w:rPr>
        <w:t>- 基本每股收益: 59.49 元/股</w:t>
      </w:r>
    </w:p>
    <w:p>
      <w:pPr>
        <w:shd w:val="clear" w:fill="F2F2F2"/>
      </w:pPr>
      <w:r>
        <w:rPr>
          <w:rFonts w:ascii="Consolas" w:hAnsi="Consolas" w:eastAsia="宋体"/>
          <w:sz w:val="18"/>
        </w:rPr>
        <w:t>## 二、盈利能力分析</w:t>
      </w:r>
    </w:p>
    <w:p>
      <w:pPr>
        <w:shd w:val="clear" w:fill="F2F2F2"/>
      </w:pPr>
      <w:r>
        <w:rPr>
          <w:rFonts w:ascii="Consolas" w:hAnsi="Consolas" w:eastAsia="宋体"/>
          <w:sz w:val="18"/>
        </w:rPr>
        <w:t>- ROE(净资产收益率): 36.1778% | 行业中位数: 25.2806% | 行业评分: 85.7 (排名 2/8)</w:t>
      </w:r>
    </w:p>
    <w:p>
      <w:pPr>
        <w:shd w:val="clear" w:fill="F2F2F2"/>
      </w:pPr>
      <w:r>
        <w:rPr>
          <w:rFonts w:ascii="Consolas" w:hAnsi="Consolas" w:eastAsia="宋体"/>
          <w:sz w:val="18"/>
        </w:rPr>
        <w:t>- 毛利率: 91.9649% | 行业中位数: 77.0671% | 行业评分: 100 (排名 1/8)</w:t>
      </w:r>
    </w:p>
    <w:p>
      <w:pPr>
        <w:shd w:val="clear" w:fill="F2F2F2"/>
      </w:pPr>
      <w:r>
        <w:rPr>
          <w:rFonts w:ascii="Consolas" w:hAnsi="Consolas" w:eastAsia="宋体"/>
          <w:sz w:val="18"/>
        </w:rPr>
        <w:t>## 四、财务风险分析</w:t>
      </w:r>
    </w:p>
    <w:p>
      <w:pPr>
        <w:shd w:val="clear" w:fill="F2F2F2"/>
      </w:pPr>
      <w:r>
        <w:rPr>
          <w:rFonts w:ascii="Consolas" w:hAnsi="Consolas" w:eastAsia="宋体"/>
          <w:sz w:val="18"/>
        </w:rPr>
        <w:t>- 资产负债率: 17.9843% | 行业中位数: 35.1307% | 行业评分: 100 (排名 1/8)</w:t>
      </w:r>
    </w:p>
    <w:p>
      <w:pPr>
        <w:shd w:val="clear" w:fill="F2F2F2"/>
      </w:pPr>
      <w:r>
        <w:rPr>
          <w:rFonts w:ascii="Consolas" w:hAnsi="Consolas" w:eastAsia="宋体"/>
          <w:sz w:val="18"/>
        </w:rPr>
        <w:t>## 五、估值水平分析</w:t>
      </w:r>
    </w:p>
    <w:p>
      <w:pPr>
        <w:shd w:val="clear" w:fill="F2F2F2"/>
      </w:pPr>
      <w:r>
        <w:rPr>
          <w:rFonts w:ascii="Consolas" w:hAnsi="Consolas" w:eastAsia="宋体"/>
          <w:sz w:val="18"/>
        </w:rPr>
        <w:t>- 市盈率PE: 29.0122倍 | 行业中位数: 21.9157倍 | 行业评分: 0 (排名 8/8)</w:t>
      </w:r>
    </w:p>
    <w:p>
      <w:pPr>
        <w:shd w:val="clear" w:fill="F2F2F2"/>
      </w:pPr>
      <w:r>
        <w:rPr>
          <w:rFonts w:ascii="Consolas" w:hAnsi="Consolas" w:eastAsia="宋体"/>
          <w:sz w:val="18"/>
        </w:rPr>
        <w:t>## 六、综合结论与风险提示</w:t>
      </w:r>
    </w:p>
    <w:p>
      <w:pPr>
        <w:shd w:val="clear" w:fill="F2F2F2"/>
      </w:pPr>
      <w:r>
        <w:rPr>
          <w:rFonts w:ascii="Consolas" w:hAnsi="Consolas" w:eastAsia="宋体"/>
          <w:sz w:val="18"/>
        </w:rPr>
        <w:t>综合评级: 优秀</w:t>
      </w:r>
    </w:p>
    <w:p>
      <w:pPr>
        <w:shd w:val="clear" w:fill="F2F2F2"/>
      </w:pPr>
      <w:r>
        <w:rPr>
          <w:rFonts w:ascii="Consolas" w:hAnsi="Consolas" w:eastAsia="宋体"/>
          <w:sz w:val="18"/>
        </w:rPr>
        <w:t>- 以上所有数据均由系统精确计算并注入, 未作任何推测或编造。</w:t>
      </w:r>
    </w:p>
    <w:p>
      <w:pPr>
        <w:shd w:val="clear" w:fill="F2F2F2"/>
      </w:pPr>
      <w:r>
        <w:rPr>
          <w:rFonts w:ascii="Consolas" w:hAnsi="Consolas" w:eastAsia="宋体"/>
          <w:sz w:val="18"/>
        </w:rPr>
        <w:t>- 风险提示: 本报告基于历史财务数据, 不构成投资建议。</w:t>
      </w:r>
    </w:p>
    <w:p>
      <w:r>
        <w:rPr>
          <w:rFonts w:ascii="Calibri" w:hAnsi="Calibri" w:eastAsia="宋体"/>
          <w:b w:val="0"/>
          <w:sz w:val="21"/>
        </w:rPr>
        <w:t>该示例体现了"精确计算+智能解读"的设计意图：高毛利、低负债、强盈利的茅台在盈利与风险维度评分居前，而估值维度（PE行业最高）如实给出低分——系统只陈述事实与相对位置，不渲染情绪，符合"客观、克制"的角色设定。</w:t>
      </w:r>
    </w:p>
    <w:p>
      <w:pPr>
        <w:pStyle w:val="Heading3"/>
      </w:pPr>
      <w:r>
        <w:rPr>
          <w:rFonts w:ascii="Calibri" w:hAnsi="Calibri" w:eastAsia="宋体"/>
          <w:b w:val="0"/>
          <w:sz w:val="21"/>
        </w:rPr>
        <w:t>5.4 Prompt对照与抗幻觉实验</w:t>
      </w:r>
    </w:p>
    <w:p>
      <w:r>
        <w:rPr>
          <w:rFonts w:ascii="Calibri" w:hAnsi="Calibri" w:eastAsia="宋体"/>
          <w:b w:val="0"/>
          <w:sz w:val="21"/>
        </w:rPr>
        <w:t>为定量评估Prompt工程对模型抗幻觉的影响，在系统原有全量留痕能力的基础上（三层模板独立存库、可分别启用与替换版本、每次生成连同注入上下文一并保存为不可变运行记录），开展了Prompt对照实验。</w:t>
      </w:r>
    </w:p>
    <w:p>
      <w:r>
        <w:rPr>
          <w:rFonts w:ascii="Calibri" w:hAnsi="Calibri" w:eastAsia="宋体"/>
          <w:b/>
          <w:sz w:val="21"/>
        </w:rPr>
        <w:t>实验组设置：</w:t>
      </w:r>
      <w:r>
        <w:rPr>
          <w:rFonts w:ascii="Calibri" w:hAnsi="Calibri" w:eastAsia="宋体"/>
          <w:b w:val="0"/>
          <w:sz w:val="21"/>
        </w:rPr>
        <w:t>A组（基线）——仅角色设定，不注入数据；B组——角色设定+数据注入，无负面指令与结构约束；C组（系统默认）——完整三层模板。为检验常见提示技巧的边际效果，另设C的三个增强变体：C+FS（在C上追加少样本范例）、C+RP（要求模型先复述注入数据再作分析）、C+V（在C上叠加生成后校验器——对输出中未能溯源的数字自动携带修正指令重生成一次）。</w:t>
      </w:r>
    </w:p>
    <w:p>
      <w:r>
        <w:rPr>
          <w:rFonts w:ascii="Calibri" w:hAnsi="Calibri" w:eastAsia="宋体"/>
          <w:b/>
          <w:sz w:val="21"/>
        </w:rPr>
        <w:t>评测任务：</w:t>
      </w:r>
      <w:r>
        <w:rPr>
          <w:rFonts w:ascii="Calibri" w:hAnsi="Calibri" w:eastAsia="宋体"/>
          <w:b w:val="0"/>
          <w:sz w:val="21"/>
        </w:rPr>
        <w:t>让各组模型对同一公司同一财年的同一组财务事实进行“复述性解读”，统计：①数值引用准确率（报告中出现的数字与注入JSON一致的占比）；②幻觉数字次数（报告中出现而注入数据中不存在的财务数字）；③结构合规率（是否遵循六段结构）；④关键结论正确率（如“毛利率行业第一”类判断与计算结果是否一致）。本次实验报告①②两项客观指标，③④需人工标注，留待后续补充。</w:t>
      </w:r>
    </w:p>
    <w:p>
      <w:r>
        <w:rPr>
          <w:rFonts w:ascii="Calibri" w:hAnsi="Calibri" w:eastAsia="宋体"/>
          <w:b/>
          <w:sz w:val="21"/>
        </w:rPr>
        <w:t>实验样本与参数</w:t>
      </w:r>
      <w:r>
        <w:rPr>
          <w:rFonts w:ascii="Calibri" w:hAnsi="Calibri" w:eastAsia="宋体"/>
          <w:b w:val="0"/>
          <w:sz w:val="21"/>
        </w:rPr>
        <w:t>：在电子设备、医药、酒饮3个行业各抽取2家公司，覆盖2023与2024两个财年，共构成12个“公司—年度”样本（n=12）；各组的注入上下文、问题文本与输出约束完全一致，模型为deepseek-v4-flash，temperature=0.3，共完成78次调用（C+V组因检出未溯源数字触发5次重试）。所有指标均为严格口径（数字须与注入锚点一致），同时报告剔除叙述性整数后的宽松口径作为对照。</w:t>
      </w:r>
    </w:p>
    <w:p>
      <w:pPr/>
      <w:r>
        <w:rPr>
          <w:rFonts w:ascii="Calibri" w:hAnsi="Calibri" w:eastAsia="宋体"/>
          <w:b/>
          <w:sz w:val="21"/>
        </w:rPr>
        <w:t>实验结果：</w:t>
      </w:r>
      <w:r>
        <w:rPr>
          <w:rFonts w:ascii="Calibri" w:hAnsi="Calibri" w:eastAsia="宋体"/>
          <w:b w:val="0"/>
          <w:sz w:val="21"/>
        </w:rPr>
        <w:t>六个月组在n=12样本上的数值引用准确率见表5。整体呈单调上升，A组11.2%→B组91.4%→C组97.5%→C+V组99.8%；平均每份报告的未溯源数字由A组的18.8个降至C+V组的0.2个。</w:t>
      </w:r>
    </w:p>
    <w:p>
      <w:pPr/>
      <w:r>
        <w:rPr>
          <w:rFonts w:ascii="Calibri" w:hAnsi="Calibri" w:eastAsia="宋体"/>
          <w:b w:val="0"/>
          <w:sz w:val="21"/>
        </w:rPr>
        <w:t>表5　Prompt对照实验结果（2023—2024年合并，n=12）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eastAsia="宋体"/>
                <w:b/>
                <w:sz w:val="19"/>
              </w:rPr>
              <w:t>组别</w:t>
            </w:r>
          </w:p>
        </w:tc>
        <w:tc>
          <w:tcPr>
            <w:tcW w:type="dxa" w:w="1728"/>
          </w:tcPr>
          <w:p>
            <w:r/>
            <w:r>
              <w:rPr>
                <w:rFonts w:ascii="Calibri" w:hAnsi="Calibri" w:eastAsia="宋体"/>
                <w:b/>
                <w:sz w:val="19"/>
              </w:rPr>
              <w:t>严格口径准确率均值±SD (%)</w:t>
            </w:r>
          </w:p>
        </w:tc>
        <w:tc>
          <w:tcPr>
            <w:tcW w:type="dxa" w:w="1728"/>
          </w:tcPr>
          <w:p>
            <w:r/>
            <w:r>
              <w:rPr>
                <w:rFonts w:ascii="Calibri" w:hAnsi="Calibri" w:eastAsia="宋体"/>
                <w:b/>
                <w:sz w:val="19"/>
              </w:rPr>
              <w:t>宽松口径均值 (%)</w:t>
            </w:r>
          </w:p>
        </w:tc>
        <w:tc>
          <w:tcPr>
            <w:tcW w:type="dxa" w:w="1728"/>
          </w:tcPr>
          <w:p>
            <w:r/>
            <w:r>
              <w:rPr>
                <w:rFonts w:ascii="Calibri" w:hAnsi="Calibri" w:eastAsia="宋体"/>
                <w:b/>
                <w:sz w:val="19"/>
              </w:rPr>
              <w:t>未溯源数字/份</w:t>
            </w:r>
          </w:p>
        </w:tc>
        <w:tc>
          <w:tcPr>
            <w:tcW w:type="dxa" w:w="1728"/>
          </w:tcPr>
          <w:p>
            <w:r/>
            <w:r>
              <w:rPr>
                <w:rFonts w:ascii="Calibri" w:hAnsi="Calibri" w:eastAsia="宋体"/>
                <w:b/>
                <w:sz w:val="19"/>
              </w:rPr>
              <w:t>相对C组的增益 (pp)</w:t>
            </w:r>
          </w:p>
        </w:tc>
      </w:tr>
      <w:tr>
        <w:tc>
          <w:tcPr>
            <w:tcW w:type="dxa" w:w="1728"/>
          </w:tcPr>
          <w:p>
            <w:r/>
            <w:r>
              <w:rPr>
                <w:rFonts w:ascii="Calibri" w:hAnsi="Calibri" w:eastAsia="宋体"/>
                <w:b w:val="0"/>
                <w:sz w:val="19"/>
              </w:rPr>
              <w:t>A 仅角色(无注入)</w:t>
            </w:r>
          </w:p>
        </w:tc>
        <w:tc>
          <w:tcPr>
            <w:tcW w:type="dxa" w:w="1728"/>
          </w:tcPr>
          <w:p>
            <w:r/>
            <w:r>
              <w:rPr>
                <w:rFonts w:ascii="Calibri" w:hAnsi="Calibri" w:eastAsia="宋体"/>
                <w:b w:val="0"/>
                <w:sz w:val="19"/>
              </w:rPr>
              <w:t>11.2 ± 5.9</w:t>
            </w:r>
          </w:p>
        </w:tc>
        <w:tc>
          <w:tcPr>
            <w:tcW w:type="dxa" w:w="1728"/>
          </w:tcPr>
          <w:p>
            <w:r/>
            <w:r>
              <w:rPr>
                <w:rFonts w:ascii="Calibri" w:hAnsi="Calibri" w:eastAsia="宋体"/>
                <w:b w:val="0"/>
                <w:sz w:val="19"/>
              </w:rPr>
              <w:t>32.2</w:t>
            </w:r>
          </w:p>
        </w:tc>
        <w:tc>
          <w:tcPr>
            <w:tcW w:type="dxa" w:w="1728"/>
          </w:tcPr>
          <w:p>
            <w:r/>
            <w:r>
              <w:rPr>
                <w:rFonts w:ascii="Calibri" w:hAnsi="Calibri" w:eastAsia="宋体"/>
                <w:b w:val="0"/>
                <w:sz w:val="19"/>
              </w:rPr>
              <w:t>18.8</w:t>
            </w:r>
          </w:p>
        </w:tc>
        <w:tc>
          <w:tcPr>
            <w:tcW w:type="dxa" w:w="1728"/>
          </w:tcPr>
          <w:p>
            <w:r/>
            <w:r>
              <w:rPr>
                <w:rFonts w:ascii="Calibri" w:hAnsi="Calibri" w:eastAsia="宋体"/>
                <w:b w:val="0"/>
                <w:sz w:val="19"/>
              </w:rPr>
              <w:t>−86.3 (p&lt;0.001)</w:t>
            </w:r>
          </w:p>
        </w:tc>
      </w:tr>
      <w:tr>
        <w:tc>
          <w:tcPr>
            <w:tcW w:type="dxa" w:w="1728"/>
          </w:tcPr>
          <w:p>
            <w:r/>
            <w:r>
              <w:rPr>
                <w:rFonts w:ascii="Calibri" w:hAnsi="Calibri" w:eastAsia="宋体"/>
                <w:b w:val="0"/>
                <w:sz w:val="19"/>
              </w:rPr>
              <w:t>B 角色+注入(无约束)</w:t>
            </w:r>
          </w:p>
        </w:tc>
        <w:tc>
          <w:tcPr>
            <w:tcW w:type="dxa" w:w="1728"/>
          </w:tcPr>
          <w:p>
            <w:r/>
            <w:r>
              <w:rPr>
                <w:rFonts w:ascii="Calibri" w:hAnsi="Calibri" w:eastAsia="宋体"/>
                <w:b w:val="0"/>
                <w:sz w:val="19"/>
              </w:rPr>
              <w:t>91.4 ± 3.2</w:t>
            </w:r>
          </w:p>
        </w:tc>
        <w:tc>
          <w:tcPr>
            <w:tcW w:type="dxa" w:w="1728"/>
          </w:tcPr>
          <w:p>
            <w:r/>
            <w:r>
              <w:rPr>
                <w:rFonts w:ascii="Calibri" w:hAnsi="Calibri" w:eastAsia="宋体"/>
                <w:b w:val="0"/>
                <w:sz w:val="19"/>
              </w:rPr>
              <w:t>98.9</w:t>
            </w:r>
          </w:p>
        </w:tc>
        <w:tc>
          <w:tcPr>
            <w:tcW w:type="dxa" w:w="1728"/>
          </w:tcPr>
          <w:p>
            <w:r/>
            <w:r>
              <w:rPr>
                <w:rFonts w:ascii="Calibri" w:hAnsi="Calibri" w:eastAsia="宋体"/>
                <w:b w:val="0"/>
                <w:sz w:val="19"/>
              </w:rPr>
              <w:t>10.1</w:t>
            </w:r>
          </w:p>
        </w:tc>
        <w:tc>
          <w:tcPr>
            <w:tcW w:type="dxa" w:w="1728"/>
          </w:tcPr>
          <w:p>
            <w:r/>
            <w:r>
              <w:rPr>
                <w:rFonts w:ascii="Calibri" w:hAnsi="Calibri" w:eastAsia="宋体"/>
                <w:b w:val="0"/>
                <w:sz w:val="19"/>
              </w:rPr>
              <w:t>−6.1 (p=0.001)</w:t>
            </w:r>
          </w:p>
        </w:tc>
      </w:tr>
      <w:tr>
        <w:tc>
          <w:tcPr>
            <w:tcW w:type="dxa" w:w="1728"/>
          </w:tcPr>
          <w:p>
            <w:r/>
            <w:r>
              <w:rPr>
                <w:rFonts w:ascii="Calibri" w:hAnsi="Calibri" w:eastAsia="宋体"/>
                <w:b w:val="0"/>
                <w:sz w:val="19"/>
              </w:rPr>
              <w:t>C 完整三层模板</w:t>
            </w:r>
          </w:p>
        </w:tc>
        <w:tc>
          <w:tcPr>
            <w:tcW w:type="dxa" w:w="1728"/>
          </w:tcPr>
          <w:p>
            <w:r/>
            <w:r>
              <w:rPr>
                <w:rFonts w:ascii="Calibri" w:hAnsi="Calibri" w:eastAsia="宋体"/>
                <w:b w:val="0"/>
                <w:sz w:val="19"/>
              </w:rPr>
              <w:t>97.5 ± 2.0</w:t>
            </w:r>
          </w:p>
        </w:tc>
        <w:tc>
          <w:tcPr>
            <w:tcW w:type="dxa" w:w="1728"/>
          </w:tcPr>
          <w:p>
            <w:r/>
            <w:r>
              <w:rPr>
                <w:rFonts w:ascii="Calibri" w:hAnsi="Calibri" w:eastAsia="宋体"/>
                <w:b w:val="0"/>
                <w:sz w:val="19"/>
              </w:rPr>
              <w:t>99.3</w:t>
            </w:r>
          </w:p>
        </w:tc>
        <w:tc>
          <w:tcPr>
            <w:tcW w:type="dxa" w:w="1728"/>
          </w:tcPr>
          <w:p>
            <w:r/>
            <w:r>
              <w:rPr>
                <w:rFonts w:ascii="Calibri" w:hAnsi="Calibri" w:eastAsia="宋体"/>
                <w:b w:val="0"/>
                <w:sz w:val="19"/>
              </w:rPr>
              <w:t>2.5</w:t>
            </w:r>
          </w:p>
        </w:tc>
        <w:tc>
          <w:tcPr>
            <w:tcW w:type="dxa" w:w="1728"/>
          </w:tcPr>
          <w:p>
            <w:r/>
            <w:r>
              <w:rPr>
                <w:rFonts w:ascii="Calibri" w:hAnsi="Calibri" w:eastAsia="宋体"/>
                <w:b w:val="0"/>
                <w:sz w:val="19"/>
              </w:rPr>
              <w:t>—</w:t>
            </w:r>
          </w:p>
        </w:tc>
      </w:tr>
      <w:tr>
        <w:tc>
          <w:tcPr>
            <w:tcW w:type="dxa" w:w="1728"/>
          </w:tcPr>
          <w:p>
            <w:r/>
            <w:r>
              <w:rPr>
                <w:rFonts w:ascii="Calibri" w:hAnsi="Calibri" w:eastAsia="宋体"/>
                <w:b w:val="0"/>
                <w:sz w:val="19"/>
              </w:rPr>
              <w:t>C+FS 少样本范例</w:t>
            </w:r>
          </w:p>
        </w:tc>
        <w:tc>
          <w:tcPr>
            <w:tcW w:type="dxa" w:w="1728"/>
          </w:tcPr>
          <w:p>
            <w:r/>
            <w:r>
              <w:rPr>
                <w:rFonts w:ascii="Calibri" w:hAnsi="Calibri" w:eastAsia="宋体"/>
                <w:b w:val="0"/>
                <w:sz w:val="19"/>
              </w:rPr>
              <w:t>97.8 ± 1.3</w:t>
            </w:r>
          </w:p>
        </w:tc>
        <w:tc>
          <w:tcPr>
            <w:tcW w:type="dxa" w:w="1728"/>
          </w:tcPr>
          <w:p>
            <w:r/>
            <w:r>
              <w:rPr>
                <w:rFonts w:ascii="Calibri" w:hAnsi="Calibri" w:eastAsia="宋体"/>
                <w:b w:val="0"/>
                <w:sz w:val="19"/>
              </w:rPr>
              <w:t>99.9</w:t>
            </w:r>
          </w:p>
        </w:tc>
        <w:tc>
          <w:tcPr>
            <w:tcW w:type="dxa" w:w="1728"/>
          </w:tcPr>
          <w:p>
            <w:r/>
            <w:r>
              <w:rPr>
                <w:rFonts w:ascii="Calibri" w:hAnsi="Calibri" w:eastAsia="宋体"/>
                <w:b w:val="0"/>
                <w:sz w:val="19"/>
              </w:rPr>
              <w:t>1.9</w:t>
            </w:r>
          </w:p>
        </w:tc>
        <w:tc>
          <w:tcPr>
            <w:tcW w:type="dxa" w:w="1728"/>
          </w:tcPr>
          <w:p>
            <w:r/>
            <w:r>
              <w:rPr>
                <w:rFonts w:ascii="Calibri" w:hAnsi="Calibri" w:eastAsia="宋体"/>
                <w:b w:val="0"/>
                <w:sz w:val="19"/>
              </w:rPr>
              <w:t>+0.3 (不显著)</w:t>
            </w:r>
          </w:p>
        </w:tc>
      </w:tr>
      <w:tr>
        <w:tc>
          <w:tcPr>
            <w:tcW w:type="dxa" w:w="1728"/>
          </w:tcPr>
          <w:p>
            <w:r/>
            <w:r>
              <w:rPr>
                <w:rFonts w:ascii="Calibri" w:hAnsi="Calibri" w:eastAsia="宋体"/>
                <w:b w:val="0"/>
                <w:sz w:val="19"/>
              </w:rPr>
              <w:t>C+RP 先复述后分析</w:t>
            </w:r>
          </w:p>
        </w:tc>
        <w:tc>
          <w:tcPr>
            <w:tcW w:type="dxa" w:w="1728"/>
          </w:tcPr>
          <w:p>
            <w:r/>
            <w:r>
              <w:rPr>
                <w:rFonts w:ascii="Calibri" w:hAnsi="Calibri" w:eastAsia="宋体"/>
                <w:b w:val="0"/>
                <w:sz w:val="19"/>
              </w:rPr>
              <w:t>95.4 ± 5.1</w:t>
            </w:r>
          </w:p>
        </w:tc>
        <w:tc>
          <w:tcPr>
            <w:tcW w:type="dxa" w:w="1728"/>
          </w:tcPr>
          <w:p>
            <w:r/>
            <w:r>
              <w:rPr>
                <w:rFonts w:ascii="Calibri" w:hAnsi="Calibri" w:eastAsia="宋体"/>
                <w:b w:val="0"/>
                <w:sz w:val="19"/>
              </w:rPr>
              <w:t>96.4</w:t>
            </w:r>
          </w:p>
        </w:tc>
        <w:tc>
          <w:tcPr>
            <w:tcW w:type="dxa" w:w="1728"/>
          </w:tcPr>
          <w:p>
            <w:r/>
            <w:r>
              <w:rPr>
                <w:rFonts w:ascii="Calibri" w:hAnsi="Calibri" w:eastAsia="宋体"/>
                <w:b w:val="0"/>
                <w:sz w:val="19"/>
              </w:rPr>
              <w:t>4.4</w:t>
            </w:r>
          </w:p>
        </w:tc>
        <w:tc>
          <w:tcPr>
            <w:tcW w:type="dxa" w:w="1728"/>
          </w:tcPr>
          <w:p>
            <w:r/>
            <w:r>
              <w:rPr>
                <w:rFonts w:ascii="Calibri" w:hAnsi="Calibri" w:eastAsia="宋体"/>
                <w:b w:val="0"/>
                <w:sz w:val="19"/>
              </w:rPr>
              <w:t>−2.1 (不显著)</w:t>
            </w:r>
          </w:p>
        </w:tc>
      </w:tr>
      <w:tr>
        <w:tc>
          <w:tcPr>
            <w:tcW w:type="dxa" w:w="1728"/>
          </w:tcPr>
          <w:p>
            <w:r/>
            <w:r>
              <w:rPr>
                <w:rFonts w:ascii="Calibri" w:hAnsi="Calibri" w:eastAsia="宋体"/>
                <w:b w:val="0"/>
                <w:sz w:val="19"/>
              </w:rPr>
              <w:t>C+V 生成后校验器</w:t>
            </w:r>
          </w:p>
        </w:tc>
        <w:tc>
          <w:tcPr>
            <w:tcW w:type="dxa" w:w="1728"/>
          </w:tcPr>
          <w:p>
            <w:r/>
            <w:r>
              <w:rPr>
                <w:rFonts w:ascii="Calibri" w:hAnsi="Calibri" w:eastAsia="宋体"/>
                <w:b w:val="0"/>
                <w:sz w:val="19"/>
              </w:rPr>
              <w:t>99.8 ± 0.7</w:t>
            </w:r>
          </w:p>
        </w:tc>
        <w:tc>
          <w:tcPr>
            <w:tcW w:type="dxa" w:w="1728"/>
          </w:tcPr>
          <w:p>
            <w:r/>
            <w:r>
              <w:rPr>
                <w:rFonts w:ascii="Calibri" w:hAnsi="Calibri" w:eastAsia="宋体"/>
                <w:b w:val="0"/>
                <w:sz w:val="19"/>
              </w:rPr>
              <w:t>100.0</w:t>
            </w:r>
          </w:p>
        </w:tc>
        <w:tc>
          <w:tcPr>
            <w:tcW w:type="dxa" w:w="1728"/>
          </w:tcPr>
          <w:p>
            <w:r/>
            <w:r>
              <w:rPr>
                <w:rFonts w:ascii="Calibri" w:hAnsi="Calibri" w:eastAsia="宋体"/>
                <w:b w:val="0"/>
                <w:sz w:val="19"/>
              </w:rPr>
              <w:t>0.2</w:t>
            </w:r>
          </w:p>
        </w:tc>
        <w:tc>
          <w:tcPr>
            <w:tcW w:type="dxa" w:w="1728"/>
          </w:tcPr>
          <w:p>
            <w:r/>
            <w:r>
              <w:rPr>
                <w:rFonts w:ascii="Calibri" w:hAnsi="Calibri" w:eastAsia="宋体"/>
                <w:b w:val="0"/>
                <w:sz w:val="19"/>
              </w:rPr>
              <w:t>+2.3 (p=0.008)</w:t>
            </w:r>
          </w:p>
        </w:tc>
      </w:tr>
    </w:tbl>
    <w:p>
      <w:pPr/>
      <w:r>
        <w:rPr>
          <w:rFonts w:ascii="Calibri" w:hAnsi="Calibri" w:eastAsia="宋体"/>
          <w:b w:val="0"/>
          <w:sz w:val="21"/>
        </w:rPr>
        <w:t>由表5可见四点。其一，数据注入是提升数值准确率的最大杠杆：仅有角色设定而无真值来源时，模型只能凭记忆作答，准确率仅11.2%，加入系统计算的财务上下文后跃升至91.4%（+80.3个百分点，Wilcoxon配对检验p=0.0005）。其二，输出约束进一步消除残余幻觉：明确“只引用注入数据中的数值”后准确率再升至97.5%（+6.1个百分点，p=0.001），未溯源数字由10.1个/份降至2.5个/份。其三，少样本范例与“先复述”两项常见提示技巧未带来显著收益（相对C组分别为+0.3与−2.1个百分点，p均大于0.3），说明该任务的关键在于先把数据锚定做对，而非堆叠提示技巧。其四，生成后校验器把严格口径推到99.8%、未溯源数字降至0.2个/份，相对C组的提升在小样本下仍达到显著（+2.3个百分点，p=0.0078），且仅在78次调用中触发5次重试，代价可接受——这与4.2节“最后一道闸”的设计意图一致。</w:t>
      </w:r>
    </w:p>
    <w:p>
      <w:pPr/>
      <w:r>
        <w:rPr>
          <w:rFonts w:ascii="Calibri" w:hAnsi="Calibri" w:eastAsia="宋体"/>
          <w:b w:val="0"/>
          <w:sz w:val="21"/>
        </w:rPr>
        <w:t>实验成本与时延：两年合计78次模型调用，输入123,144 token、输出385,788 token、共508,932 token，生成总耗时26.8分钟，单次调用平均20.6秒；输出token显著高于输入，缘于所用模型为推理型，思维链计入输出token。逐次运行的模型名、温度、耗时、token用量与提示词指纹均随运行记录落盘，可完整复核。</w:t>
      </w:r>
    </w:p>
    <w:p>
      <w:pPr/>
      <w:r>
        <w:rPr>
          <w:rFonts w:ascii="Calibri" w:hAnsi="Calibri" w:eastAsia="宋体"/>
          <w:b w:val="0"/>
          <w:sz w:val="21"/>
        </w:rPr>
        <w:t>需要说明的是，本实验样本量较小（n=12，每行业仅2家）且仅覆盖单一模型，结论限定为同一模型上的Prompt消融效应，不外推为跨模型或多行业的普遍规律；模型输出在temperature=0.3下仍具随机性，可复现的是策略间的相对关系与结论方向。</w:t>
      </w:r>
    </w:p>
    <w:p>
      <w:pPr>
        <w:pStyle w:val="Heading2"/>
      </w:pPr>
      <w:r>
        <w:rPr>
          <w:rFonts w:ascii="Calibri" w:hAnsi="Calibri" w:eastAsia="黑体"/>
          <w:b/>
          <w:color w:val="1F3B63"/>
          <w:sz w:val="28"/>
        </w:rPr>
        <w:t>6 结束语</w:t>
      </w:r>
    </w:p>
    <w:p>
      <w:r>
        <w:rPr>
          <w:rFonts w:ascii="Calibri" w:hAnsi="Calibri" w:eastAsia="宋体"/>
          <w:b w:val="0"/>
          <w:sz w:val="21"/>
        </w:rPr>
        <w:t>基于3个行业24家上市公司2021—2025年真实财报数据的验证表明，系统计算结果与公开年报完全一致，生成的解读报告结构规范、数字准确、结论可复核；12个“公司—年度”样本上的Prompt对照实验进一步表明，数据注入与输出约束可将报告的数值引用准确率由11.2%提升至97.5%，叠加生成后校验器后达到99.8%。</w:t>
      </w:r>
    </w:p>
    <w:p>
      <w:r>
        <w:rPr>
          <w:rFonts w:ascii="Calibri" w:hAnsi="Calibri" w:eastAsia="宋体"/>
          <w:b w:val="0"/>
          <w:sz w:val="21"/>
        </w:rPr>
        <w:t>后续工作将围绕三方面展开：一是扩大行业覆盖与样本规模（如银行、地产等特殊报表结构行业需要扩展科目体系），并补做结构合规率、关键结论正确率与语义质量人工评分，在更多模型上重复验证特别是本地小模型的可用边界；二是深化提示策略研究，探索思维链、检索增强与多轮自检对解读深度的提升；三是引入年报文本（管理层讨论与分析、审计意见等）的多模态解读，实现“数值+文本”的融合分析。</w:t>
      </w:r>
    </w:p>
    <w:p>
      <w:pPr>
        <w:pStyle w:val="Heading2"/>
      </w:pPr>
      <w:r>
        <w:rPr>
          <w:rFonts w:ascii="Calibri" w:hAnsi="Calibri" w:eastAsia="黑体"/>
          <w:b/>
          <w:color w:val="1F3B63"/>
          <w:sz w:val="28"/>
        </w:rPr>
        <w:t>参考文献</w:t>
      </w:r>
    </w:p>
    <w:p>
      <w:r>
        <w:rPr>
          <w:rFonts w:ascii="Calibri" w:hAnsi="Calibri" w:eastAsia="宋体"/>
          <w:b w:val="0"/>
          <w:sz w:val="21"/>
        </w:rPr>
        <w:t>[1] Beaver W H. Financial ratios as predictors of failure[J]. Journal of Accounting Research, 1966, 4: 71-111.</w:t>
      </w:r>
    </w:p>
    <w:p>
      <w:r>
        <w:rPr>
          <w:rFonts w:ascii="Calibri" w:hAnsi="Calibri" w:eastAsia="宋体"/>
          <w:b w:val="0"/>
          <w:sz w:val="21"/>
        </w:rPr>
        <w:t>[2] Altman E I. Financial ratios, discriminant analysis and the prediction of corporate bankruptcy[J]. The Journal of Finance, 1968, 23(4): 589-609.</w:t>
      </w:r>
    </w:p>
    <w:p>
      <w:r>
        <w:rPr>
          <w:rFonts w:ascii="Calibri" w:hAnsi="Calibri" w:eastAsia="宋体"/>
          <w:b w:val="0"/>
          <w:sz w:val="21"/>
        </w:rPr>
        <w:t>[3] Porter M E. Competitive strategy: techniques for analyzing industries and competitors[M]. New York: Free Press, 1980.</w:t>
      </w:r>
    </w:p>
    <w:p>
      <w:r>
        <w:rPr>
          <w:rFonts w:ascii="Calibri" w:hAnsi="Calibri" w:eastAsia="宋体"/>
          <w:b w:val="0"/>
          <w:sz w:val="21"/>
        </w:rPr>
        <w:t>[4] Fama E F, French K R. A five-factor asset pricing model[J]. Journal of Financial Economics, 2015, 116(1): 1-22.</w:t>
      </w:r>
    </w:p>
    <w:p>
      <w:r>
        <w:rPr>
          <w:rFonts w:ascii="Calibri" w:hAnsi="Calibri" w:eastAsia="宋体"/>
          <w:b w:val="0"/>
          <w:sz w:val="21"/>
        </w:rPr>
        <w:t>[5] Lopez-Lira A, Tang Y. Can ChatGPT forecast stock price movements? Return predictability and large language models[EB/OL]. arXiv:2304.07619, 2023.</w:t>
      </w:r>
    </w:p>
    <w:p>
      <w:r>
        <w:rPr>
          <w:rFonts w:ascii="Calibri" w:hAnsi="Calibri" w:eastAsia="宋体"/>
          <w:b w:val="0"/>
          <w:sz w:val="21"/>
        </w:rPr>
        <w:t>[6] Wu S, Irsoy O, Lu S, et al. BloombergGPT: a large language model for finance[EB/OL]. arXiv:2303.17564, 2023.</w:t>
      </w:r>
    </w:p>
    <w:p>
      <w:r>
        <w:rPr>
          <w:rFonts w:ascii="Calibri" w:hAnsi="Calibri" w:eastAsia="宋体"/>
          <w:b w:val="0"/>
          <w:sz w:val="21"/>
        </w:rPr>
        <w:t>[7] 吴世农, 卢贤义. 我国上市公司财务困境的预测模型研究[J]. 经济研究, 2001(6): 46-55.</w:t>
      </w:r>
    </w:p>
    <w:p>
      <w:r>
        <w:rPr>
          <w:rFonts w:ascii="Calibri" w:hAnsi="Calibri" w:eastAsia="宋体"/>
          <w:b w:val="0"/>
          <w:sz w:val="21"/>
        </w:rPr>
        <w:t>[8] 王化成, 刘俊勇, 孙薇. 财务报表分析[M]. 9版. 北京: 中国人民大学出版社, 2019.</w:t>
      </w:r>
    </w:p>
    <w:p>
      <w:r>
        <w:rPr>
          <w:rFonts w:ascii="Calibri" w:hAnsi="Calibri" w:eastAsia="宋体"/>
          <w:b w:val="0"/>
          <w:sz w:val="21"/>
        </w:rPr>
        <w:t>[9] 申万宏源证券. 申万行业分类标准(2023版)[Z]. 上海: 申万宏源研究所, 2023.</w:t>
      </w:r>
    </w:p>
    <w:p>
      <w:r>
        <w:rPr>
          <w:rFonts w:ascii="Calibri" w:hAnsi="Calibri" w:eastAsia="宋体"/>
          <w:b w:val="0"/>
          <w:sz w:val="21"/>
        </w:rPr>
        <w:t>[10] Brown T, Mann B, Ryder N, et al. Language models are few-shot learners[C]//Advances in Neural Information Processing Systems 33 (NeurIPS 2020). 2020: 1877-1901.</w:t>
      </w:r>
    </w:p>
    <w:p>
      <w:r>
        <w:rPr>
          <w:rFonts w:ascii="Calibri" w:hAnsi="Calibri" w:eastAsia="宋体"/>
          <w:b w:val="0"/>
          <w:sz w:val="21"/>
        </w:rPr>
        <w:t>[11] Ouyang L, Wu J, Jiang X, et al. Training language models to follow instructions with human feedback[C]//Advances in Neural Information Processing Systems 35 (NeurIPS 2022). 2022.</w:t>
      </w:r>
    </w:p>
    <w:p>
      <w:r>
        <w:rPr>
          <w:rFonts w:ascii="Calibri" w:hAnsi="Calibri" w:eastAsia="宋体"/>
          <w:b/>
          <w:sz w:val="21"/>
        </w:rPr>
        <w:t>作者简介：</w:t>
      </w:r>
      <w:r>
        <w:rPr>
          <w:rFonts w:ascii="Calibri" w:hAnsi="Calibri" w:eastAsia="宋体"/>
          <w:b w:val="0"/>
          <w:sz w:val="21"/>
        </w:rPr>
        <w:t xml:space="preserve"> 韩宇（2005—），男，本科生，研究方向为人工智能应用与Web开发。桂斌（1977—），男，副教授，研究方向为人工智能与计算机应用。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