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黑体" w:hAnsi="黑体" w:eastAsia="黑体"/>
          <w:b/>
          <w:sz w:val="40"/>
        </w:rPr>
        <w:t>省级大创结题答辩 · 讲稿与预期问答</w:t>
      </w:r>
    </w:p>
    <w:p>
      <w:pPr>
        <w:jc w:val="center"/>
      </w:pPr>
      <w:r>
        <w:rPr>
          <w:rFonts w:ascii="Calibri" w:hAnsi="Calibri" w:eastAsia="宋体"/>
          <w:b w:val="0"/>
          <w:sz w:val="24"/>
        </w:rPr>
        <w:t>基于 Prompt 工程的上市公司财报解读与行业对标系统</w:t>
      </w:r>
    </w:p>
    <w:p>
      <w:pPr>
        <w:jc w:val="center"/>
      </w:pPr>
      <w:r>
        <w:rPr>
          <w:rFonts w:ascii="Calibri" w:hAnsi="Calibri" w:eastAsia="宋体"/>
          <w:b w:val="0"/>
          <w:color w:val="52637A"/>
          <w:sz w:val="20"/>
        </w:rPr>
        <w:t>配套文件：答辩PPT_财报智读.pptx（15 页，每页附有讲稿备注）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一、时间分配建议（按 10 分钟陈述设计）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907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PPT 页</w:t>
            </w:r>
          </w:p>
        </w:tc>
        <w:tc>
          <w:tcPr>
            <w:tcW w:type="dxa" w:w="2381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  <w:tc>
          <w:tcPr>
            <w:tcW w:type="dxa" w:w="1247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建议用时</w:t>
            </w:r>
          </w:p>
        </w:tc>
        <w:tc>
          <w:tcPr>
            <w:tcW w:type="dxa" w:w="4535"/>
          </w:tcPr>
          <w:p>
            <w:r/>
            <w:r>
              <w:rPr>
                <w:rFonts w:ascii="黑体" w:hAnsi="黑体" w:eastAsia="黑体"/>
                <w:b/>
                <w:sz w:val="19"/>
              </w:rPr>
              <w:t>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封面与自我介绍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姓名、题目、一句话定位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一页看懂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50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四个关键数字，抛出两个问题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系统架构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**本页是重点**：双层解耦、模型无计算入口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4-5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界面设计与工程化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90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**本项目最直观的差异点**，先给视觉冲击再讲工程细节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数据与口径修正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真实数据 + 主动讲口径自查（体现严谨）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7-8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指标体系与三层 Prompt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70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方向感知评分、负例约束、缺失声明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防幻觉闭环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60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**核心创新点**：数值溯源，把幻觉变成指标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10-11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实验设计与结果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100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**留足时间**：数据注入是最大杠杆 + 主动报告负面结果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创新点与成果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软著、论文、系统、实验记录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不足与展望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40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如实说限制，比讲满成绩得分高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14-15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分工与致谢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30 秒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分工要与软著、论文署名一致</w:t>
            </w:r>
          </w:p>
        </w:tc>
      </w:tr>
    </w:tbl>
    <w:p>
      <w:pPr>
        <w:spacing w:after="100" w:line="348" w:lineRule="auto"/>
        <w:ind w:firstLine="420"/>
      </w:pPr>
      <w:r>
        <w:rPr>
          <w:rFonts w:ascii="Calibri" w:hAnsi="Calibri" w:eastAsia="宋体"/>
          <w:b w:val="0"/>
          <w:sz w:val="21"/>
        </w:rPr>
        <w:t>合计约 10 分钟。若限定 8 分钟，压缩第 7-8 页与第 12 页；第 3、4-5、9、10-11 页不要压缩，它们分别是架构、亮点、创新与证据。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二、讲稿要点（逐页，完整口播稿见 PPT 备注栏）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 页 · 开场　</w:t>
      </w:r>
      <w:r>
        <w:rPr>
          <w:rFonts w:ascii="Calibri" w:hAnsi="Calibri" w:eastAsia="宋体"/>
          <w:b w:val="0"/>
          <w:sz w:val="21"/>
        </w:rPr>
        <w:t>自我介绍 + 一句话定位：系统负责算得准，模型负责讲得清，校验器负责查得出。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2 页 · 一页看懂　</w:t>
      </w:r>
      <w:r>
        <w:rPr>
          <w:rFonts w:ascii="Calibri" w:hAnsi="Calibri" w:eastAsia="宋体"/>
          <w:b w:val="0"/>
          <w:sz w:val="21"/>
        </w:rPr>
        <w:t>四个数字：12,801 行代码 / 2,760 条真实科目 / 17 个接口 / 99.8% 准确率。然后抛出两个痛点：财报有专业门槛、大模型会编数字。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3 页 · 系统架构　</w:t>
      </w:r>
      <w:r>
        <w:rPr>
          <w:rFonts w:ascii="Calibri" w:hAnsi="Calibri" w:eastAsia="宋体"/>
          <w:b w:val="0"/>
          <w:sz w:val="21"/>
        </w:rPr>
        <w:t>强调双层解耦，落到一句话：两层之间只通过一份数据上下文 JSON 衔接，模型拿到的是已经算好的数据，没有参与计算的入口。这是防幻觉最根本的设计。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4 页 · 界面　</w:t>
      </w:r>
      <w:r>
        <w:rPr>
          <w:rFonts w:ascii="Calibri" w:hAnsi="Calibri" w:eastAsia="宋体"/>
          <w:b w:val="0"/>
          <w:sz w:val="21"/>
        </w:rPr>
        <w:t>先让老师看图，不要急着念功能。然后强调：没有引入任何第三方 UI 组件库，而是自建一套设计令牌，六个页面共用同一套视觉规则。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5 页 · 工程化细节　</w:t>
      </w:r>
      <w:r>
        <w:rPr>
          <w:rFonts w:ascii="Calibri" w:hAnsi="Calibri" w:eastAsia="宋体"/>
          <w:b w:val="0"/>
          <w:sz w:val="21"/>
        </w:rPr>
        <w:t>挑两个讲：ECharts 按需引入（745KB → 638KB）、数值溯源可视化（绿/黄高亮）。其余可一句带过。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6 页 · 数据　</w:t>
      </w:r>
      <w:r>
        <w:rPr>
          <w:rFonts w:ascii="Calibri" w:hAnsi="Calibri" w:eastAsia="宋体"/>
          <w:b w:val="0"/>
          <w:sz w:val="21"/>
        </w:rPr>
        <w:t>真实数据 + 误差为 0。重点讲下半部分的 ROE 口径自查：平均高估 0.72pp、最大 5.20pp、19% 样本相对变化超 5%。点出意义：这类问题不报错、不崩溃，只会安静地把结论带偏。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7 页 · 指标与对标　</w:t>
      </w:r>
      <w:r>
        <w:rPr>
          <w:rFonts w:ascii="Calibri" w:hAnsi="Calibri" w:eastAsia="宋体"/>
          <w:b w:val="0"/>
          <w:sz w:val="21"/>
        </w:rPr>
        <w:t>讲“方向感知”：低优指标要反转后再评分，否则六个维度的分数不能平均。再补一句：口径写死在引擎里，重算接口可一键复现。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8 页 · 三层 Prompt　</w:t>
      </w:r>
      <w:r>
        <w:rPr>
          <w:rFonts w:ascii="Calibri" w:hAnsi="Calibri" w:eastAsia="宋体"/>
          <w:b w:val="0"/>
          <w:sz w:val="21"/>
        </w:rPr>
        <w:t>三层各解决一个问题：身份、数字、结构。重点讲负例约束（禁止编造）与缺失声明（数据不足就说无法分析）。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9 页 · 防幻觉闭环　</w:t>
      </w:r>
      <w:r>
        <w:rPr>
          <w:rFonts w:ascii="Calibri" w:hAnsi="Calibri" w:eastAsia="宋体"/>
          <w:b w:val="0"/>
          <w:sz w:val="21"/>
        </w:rPr>
        <w:t>五步流程 + 为什么重要：把幻觉从定性说法变成可量化指标，用户能感知、事后可审计、还能自动纠偏。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10 页 · 实验设计　</w:t>
      </w:r>
      <w:r>
        <w:rPr>
          <w:rFonts w:ascii="Calibri" w:hAnsi="Calibri" w:eastAsia="宋体"/>
          <w:b w:val="0"/>
          <w:sz w:val="21"/>
        </w:rPr>
        <w:t>六组策略、n=12、配对检验。主动说明配对方式修正（原按位置配对造成 9 对错配）。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11 页 · 实验结果　</w:t>
      </w:r>
      <w:r>
        <w:rPr>
          <w:rFonts w:ascii="Calibri" w:hAnsi="Calibri" w:eastAsia="宋体"/>
          <w:b w:val="0"/>
          <w:sz w:val="21"/>
        </w:rPr>
        <w:t>先讲最大杠杆：11.2% → 91.4%（+80.3pp）；再讲最终效果 99.8%、未溯源数字 0.2 个/份；然后主动报告 C+FS / C+RP 不显著。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12 页 · 创新与成果　</w:t>
      </w:r>
      <w:r>
        <w:rPr>
          <w:rFonts w:ascii="Calibri" w:hAnsi="Calibri" w:eastAsia="宋体"/>
          <w:b w:val="0"/>
          <w:sz w:val="21"/>
        </w:rPr>
        <w:t>三个创新点各一句；四块成果：软著、论文、可运行系统、带时间戳的实验记录。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13 页 · 不足与展望　</w:t>
      </w:r>
      <w:r>
        <w:rPr>
          <w:rFonts w:ascii="Calibri" w:hAnsi="Calibri" w:eastAsia="宋体"/>
          <w:b w:val="0"/>
          <w:sz w:val="21"/>
        </w:rPr>
        <w:t>限制讲具体（样本、单一模型、行业样本少、数据源依赖），不要含糊。</w:t>
      </w:r>
    </w:p>
    <w:p>
      <w:pPr>
        <w:spacing w:after="80" w:line="336" w:lineRule="auto"/>
      </w:pPr>
      <w:r>
        <w:rPr>
          <w:rFonts w:ascii="Calibri" w:hAnsi="Calibri" w:eastAsia="宋体"/>
          <w:b/>
          <w:color w:val="1D5288"/>
          <w:sz w:val="22"/>
        </w:rPr>
        <w:t xml:space="preserve">第 14-15 页 · 分工与致谢　</w:t>
      </w:r>
      <w:r>
        <w:rPr>
          <w:rFonts w:ascii="Calibri" w:hAnsi="Calibri" w:eastAsia="宋体"/>
          <w:b w:val="0"/>
          <w:sz w:val="21"/>
        </w:rPr>
        <w:t>分工一句带过，邀请现场演示。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三、预期问答（16 条，按被问概率排序）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1】</w:t>
      </w:r>
      <w:r>
        <w:rPr>
          <w:rFonts w:ascii="Calibri" w:hAnsi="Calibri" w:eastAsia="宋体"/>
          <w:b/>
          <w:sz w:val="23"/>
        </w:rPr>
        <w:t>你们为什么不用 Element Plus 这类现成的 UI 组件库？自己写一套不是重复造轮子吗？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这是我们主动做的技术选择，有三个理由。第一是可控性：现成组件库的样式与交互是别人定好的，我们要做的是金融分析工具，表格、图表、数值高亮的密度和常规后台系统完全不同，改组件库的默认样式往往比自己写还麻烦。第二是体积：组件库动辄几百 KB，而我们整个前端 gzip 后约 299 KB，其中图表库占了大头；不引组件库让首屏更轻。第三是能力体现：这套设计令牌只用了约 320 行 CSS，就支撑了 6 个页面和 10 个通用组件，这是我们自己可控、可维护、可换肤的部分。当然我们也承认，如果项目周期更短、界面要求更标准，直接用组件库是更务实的选择。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2】</w:t>
      </w:r>
      <w:r>
        <w:rPr>
          <w:rFonts w:ascii="Calibri" w:hAnsi="Calibri" w:eastAsia="宋体"/>
          <w:b/>
          <w:sz w:val="23"/>
        </w:rPr>
        <w:t>你们的 ROE 口径问题是怎么发现的？对结论影响有多大？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是在核对数据时发现的。分子用的是“归母净利润”，但分母用的是“所有者权益合计”，后者包含少数股东权益，两者口径不一致。修正为“归属于母公司股东的权益”后重新计算，影响是：ROE 平均高估 0.72 个百分点，最大 5.20 个百分点，大约 19% 的样本相对变化超过 5%。这个量级会让行业内排名发生变化，所以不能忽略。我们不仅改了代码，还补了一个回归测试，防止以后改回去。这件事我觉得比多写一个功能更有价值——它说明我们在真的核对数据，而不只是让程序跑起来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3】</w:t>
      </w:r>
      <w:r>
        <w:rPr>
          <w:rFonts w:ascii="Calibri" w:hAnsi="Calibri" w:eastAsia="宋体"/>
          <w:b/>
          <w:sz w:val="23"/>
        </w:rPr>
        <w:t>行业对标每个行业只有 8 家公司，P25、P75 这些分位数有统计意义吗？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坦白说，样本确实偏小，这也是我们在论文和答辩里明确列为局限的原因。我们在材料里的措辞是“小样本案例研究”，没有把它说成行业基准。之所以还是保留分位数，是因为它在这个系统里的作用是“给单个公司一个参照系”，而不是做统计推断：告诉用户这家公司的毛利率在同行业 8 家样本里排第几、处在什么位置，这个信息本身是有意义的。但如果要用它推断整个行业，8 家是不够的，这一点我们承认。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4】</w:t>
      </w:r>
      <w:r>
        <w:rPr>
          <w:rFonts w:ascii="Calibri" w:hAnsi="Calibri" w:eastAsia="宋体"/>
          <w:b/>
          <w:sz w:val="23"/>
        </w:rPr>
        <w:t>实验只有 n=12 个样本，结论可靠吗？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n=12 属于小样本，这是明确的局限，我们做了三件事来保证结论尽量可靠。第一，用配对设计：同一公司、同一年度在不同 Prompt 策略下比较，把公司和年度的差异消掉，只留策略差异。第二，用 Wilcoxon 符号秩检验并取精确分布 p 值，而不是用需要大样本的正态近似。第三，不只报显著性，同时报效应量——比如 A 到 B 是 80.3 个百分点，这个差距大到不需要统计检验也能看出来。所以我们说的是“在这 12 个样本上观察到的一致差异”，没有外推成普遍规律。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5】</w:t>
      </w:r>
      <w:r>
        <w:rPr>
          <w:rFonts w:ascii="Calibri" w:hAnsi="Calibri" w:eastAsia="宋体"/>
          <w:b/>
          <w:sz w:val="23"/>
        </w:rPr>
        <w:t>为什么只测了一个模型？本地模型为什么没跑完？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原本计划做跨模型对比，包括本地小模型。本地部分因实验机内存不足，qwen3.5:2b 和 deepseek-r1:7b 只跑通了 1 到 3 条冒烟测试就中断了。这部分数据没有统计意义，我们已经把它从仓库里清掉了，没有混进结果。所以现在的实验准确定位是“单一模型上的 Prompt 消融”。跨模型验证我们列在后续工作里，这也是下一步最该补的实验。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6】</w:t>
      </w:r>
      <w:r>
        <w:rPr>
          <w:rFonts w:ascii="Calibri" w:hAnsi="Calibri" w:eastAsia="宋体"/>
          <w:b/>
          <w:sz w:val="23"/>
        </w:rPr>
        <w:t>Wilcoxon 符号秩检验是什么？为什么一定要用配对检验？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它是非参数检验，用来判断两组配对数据的中位数差异是否显著，优点是不要求数据服从正态分布，适合我们这种小样本。必须配对的原因是：公司和年度本身会造成巨大差异——茅台的 ROE 和一家亏损公司的 ROE 本来就不在一个量级。如果混在一起比较，看到的是公司差异而不是策略差异。按“公司+年度”配对，等于每个样本自己跟自己比，只反映策略带来的变化。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7】</w:t>
      </w:r>
      <w:r>
        <w:rPr>
          <w:rFonts w:ascii="Calibri" w:hAnsi="Calibri" w:eastAsia="宋体"/>
          <w:b/>
          <w:sz w:val="23"/>
        </w:rPr>
        <w:t>你们的 C+FS 少样本和 C+RP 先复述都没有效果，是不是说明 Prompt 技巧没用？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不能这么说，更准确的结论是：在这个特定任务上，这两项技巧的边际收益不显著。我们的任务本质是“数值锚定”——让模型准确复述给定数据里的数字。在这个任务上，关键是把数据可靠地注入进去，而不是教模型怎么推理。少样本范例主要提升的是格式与风格，而复述会让模型把注意力分到复述上。所以我们实验真正的启示是：先把数据供给这一层做对，再去优化提示技巧。另外，负面结果我们照实报告了——这本身也说明我们的数据不是挑出来的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8】</w:t>
      </w:r>
      <w:r>
        <w:rPr>
          <w:rFonts w:ascii="Calibri" w:hAnsi="Calibri" w:eastAsia="宋体"/>
          <w:b/>
          <w:sz w:val="23"/>
        </w:rPr>
        <w:t>大模型天生会编数字，你们怎么保证它不编？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我们不声称“彻底消除幻觉”，而是从三个层次降低它。第一层是架构：模型拿到的是系统算好的数据，它没有参与计算的入口，想把两个数加起来自己造一个数，在数据里找不到出处，就会被校验器抓出来。第二层是提示：明确声明这是唯一可信的数据来源，并加上负例约束（禁止编造）和缺失声明（数据不足就说无法分析，而不是硬编）。第三层是生成后校验：逐个数字回溯比对，给出可溯源率；检出未溯源数字会自动纠偏重生成一次。效果是从基线 11.2% 提升到 99.8%，未溯源数字降到每份 0.2 个——注意是 0.2 而不是 0，我们保留这个数字就是为了说明它不是零风险。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9】</w:t>
      </w:r>
      <w:r>
        <w:rPr>
          <w:rFonts w:ascii="Calibri" w:hAnsi="Calibri" w:eastAsia="宋体"/>
          <w:b/>
          <w:sz w:val="23"/>
        </w:rPr>
        <w:t>数值溯源校验器是怎么判断的？会不会误判或漏判？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它的做法是：从报告里提取所有财务数字，识别它属于哪个指标，然后在注入的数据里查找是否有匹配的值和归属关系。局限我们也写明了：它本质是规则筛查，不能替代人工核对年报。主要误差来自两类：叙述性整数（比如年份、名次）会进入严格口径，让严格口径偏保守；跨句的数字归属也可能判断失准。所以我们是双口径报告——严格口径把所有数字都算进去，宽松口径剔除叙述性整数，两个一起看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10】</w:t>
      </w:r>
      <w:r>
        <w:rPr>
          <w:rFonts w:ascii="Calibri" w:hAnsi="Calibri" w:eastAsia="宋体"/>
          <w:b/>
          <w:sz w:val="23"/>
        </w:rPr>
        <w:t>数据是真实的吗？怎么保证不是你们编的？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有三个可验证的证据。第一，数据来自公开接口：东方财富数据中心的三大报表、新浪财经的年末收盘价，采集脚本在仓库里，任何人都能重新跑一遍。第二，我们和公开年报逐项核对过，比如贵州茅台 2023 年营业收入 1,476.94 亿元、归母净利润 747.34 亿元，这些数字可以在任何财经网站查到。第三，历史股本逐年核实过，用的是当年年报的实收资本，所以 PE/PB 的口径也是对的。如果数据是编的，反而不会在核对时发现 ROE 口径那种问题。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11】</w:t>
      </w:r>
      <w:r>
        <w:rPr>
          <w:rFonts w:ascii="Calibri" w:hAnsi="Calibri" w:eastAsia="宋体"/>
          <w:b/>
          <w:sz w:val="23"/>
        </w:rPr>
        <w:t>这个系统和同花顺、Wind 这类成熟产品有什么区别？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定位不同，我们不做行情终端，做的是“财报解读的自动化”。同花顺、Wind 的优势是数据全、更新快、覆盖广，它们也提供财务指标，但解读仍然要人来做。我们的目标是把“指标计算 + 行业对标 + 通俗解读”这条链路自动化，并且解决一个它们不太会碰到的问题：让大模型在解读财报时不编数字。所以严格说，我们的价值不在数据源，而在于“可信的自动解读”这个环节的方法探索——包括三层 Prompt、数值溯源校验和那组消融实验。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12】</w:t>
      </w:r>
      <w:r>
        <w:rPr>
          <w:rFonts w:ascii="Calibri" w:hAnsi="Calibri" w:eastAsia="宋体"/>
          <w:b/>
          <w:sz w:val="23"/>
        </w:rPr>
        <w:t>你们的核心创新点是什么？别人能很容易复制吗？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核心创新是把“精确计算”和“智能解读”彻底解耦，并且把幻觉变成了可量化、可审计的指标。技术上单独看每一项都不算难——三层 Prompt、指标计算、正则校验，都是成熟技术。难的是把它们组合成一个闭环，并且用一组对照实验证明每一层到底贡献了多少。比如我们的实验数据说明：数据注入贡献了 80.3 个百分点，输出约束贡献 6.1 个百分点，而少样本和先复述几乎没贡献。这个“哪一层更重要”的量化结论，才是我们区别于“随便套个 Prompt 调 API”的地方。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13】</w:t>
      </w:r>
      <w:r>
        <w:rPr>
          <w:rFonts w:ascii="Calibri" w:hAnsi="Calibri" w:eastAsia="宋体"/>
          <w:b/>
          <w:sz w:val="23"/>
        </w:rPr>
        <w:t>四个人具体怎么分工的？工作量各占多少？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按系统模块划分：一人负责后端计算与对标算法，一人负责前端界面与交互，一人负责数据采集与质量校验，一人负责 Prompt 工程与对照实验，指导教师在选题、路线和论文上把关。四个人各自有独立交付物，在答辩材料的分工页里有一一对应的说明。需要说明的是这一页还需要与团队最终确认，并和软件著作权的著作权人、论文的作者顺序保持一致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14】</w:t>
      </w:r>
      <w:r>
        <w:rPr>
          <w:rFonts w:ascii="Calibri" w:hAnsi="Calibri" w:eastAsia="宋体"/>
          <w:b/>
          <w:sz w:val="23"/>
        </w:rPr>
        <w:t>软件著作权和论文的著作权人、作者顺序是怎么定的？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软件著作权的著作权人与论文作者顺序都以团队实际贡献为依据，并且会与学校的大创管理规定保持一致。这里需要区分两种情况：如果按职务作品由学校作为著作权人，需要学校出具相应说明；如果以个人作为著作权人，则需要全体作者签署合作开发协议明确权利归属。这一项我们还在与指导教师确认，会在提交前定稿，保证三处署名一致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15】</w:t>
      </w:r>
      <w:r>
        <w:rPr>
          <w:rFonts w:ascii="Calibri" w:hAnsi="Calibri" w:eastAsia="宋体"/>
          <w:b/>
          <w:sz w:val="23"/>
        </w:rPr>
        <w:t>PE、PB 依赖年末收盘价和股本，如果数据出错怎么办？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这是我们已知的脆弱点，做了三层处理。第一，股本优先取当年年报的实收资本——因为 A 股面值通常是 1 元，实收资本数值就等于股数，能自动反映送转导致的股本变化，这比直接用当前股本准确。第二，如果年报缺失，会退化为用腾讯行情的当前总股本近似，并且产生告警，提醒使用者这条数据的可信度较低。第三，采集脚本对每个科目都做非空校验，缺失就跳过而不是写 0——这一点很重要，早期版本有把缺失写成 0 的问题，已经修掉了。</w:t>
      </w:r>
    </w:p>
    <w:p>
      <w:pPr>
        <w:spacing w:before="200" w:after="60" w:line="324" w:lineRule="auto"/>
      </w:pPr>
      <w:r>
        <w:rPr>
          <w:rFonts w:ascii="Calibri" w:hAnsi="Calibri" w:eastAsia="宋体"/>
          <w:b/>
          <w:color w:val="1D5288"/>
          <w:sz w:val="22"/>
        </w:rPr>
        <w:t>【预期提问 16】</w:t>
      </w:r>
      <w:r>
        <w:rPr>
          <w:rFonts w:ascii="Calibri" w:hAnsi="Calibri" w:eastAsia="宋体"/>
          <w:b/>
          <w:sz w:val="23"/>
        </w:rPr>
        <w:t>项目结题后还会继续维护吗？</w:t>
      </w:r>
    </w:p>
    <w:p>
      <w:pPr>
        <w:spacing w:after="80" w:line="348" w:lineRule="auto"/>
        <w:ind w:left="340"/>
      </w:pPr>
      <w:r>
        <w:rPr>
          <w:rFonts w:ascii="Calibri" w:hAnsi="Calibri" w:eastAsia="宋体"/>
          <w:b/>
          <w:color w:val="10A05A"/>
          <w:sz w:val="21"/>
        </w:rPr>
        <w:t>答：</w:t>
      </w:r>
      <w:r>
        <w:rPr>
          <w:rFonts w:ascii="Calibri" w:hAnsi="Calibri" w:eastAsia="宋体"/>
          <w:b w:val="0"/>
          <w:sz w:val="21"/>
        </w:rPr>
        <w:t>会做有限的维护。代码、文档、数据脚本都在仓库里，结构上是可以继续迭代的：数据库科目体系可以扩展，Prompt 模板存在库里可以直接换，评测脚本可以重跑。后续工作我们已经列了五个方向，最优先的是补全评测维度——现在只报了准确率和幻觉数两个客观指标，结构合规率和结论正确率还需要人工标注。不过也要现实一点，团队毕业后维护能力会下降，所以我们更希望它作为一个可复现的研究基线留下来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四、现场演示与兜底方案</w:t>
      </w:r>
    </w:p>
    <w:p>
      <w:pPr>
        <w:spacing w:after="100" w:line="348" w:lineRule="auto"/>
        <w:ind w:firstLine="420"/>
      </w:pPr>
      <w:r>
        <w:rPr>
          <w:rFonts w:ascii="Calibri" w:hAnsi="Calibri" w:eastAsia="宋体"/>
          <w:b w:val="0"/>
          <w:sz w:val="21"/>
        </w:rPr>
        <w:t>建议演示顺序（控制在 90 秒内，只走主链路）：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公司查询页输入 600519 → 进入财务画像（展示综合评分环与六维雷达）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点击任一指标旁的“?”→ 弹出指标释义（维度/单位/方向/公式）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 AI 解读页 → 生成解读简报 → 指出绿色数字为可溯源、黄色为待核对，并读出可溯源率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切到行业排行页 → 展示同一指标下的行业名次与分布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切到智能筛选页 → 一键载入预设方案，展示逐条件判定明细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兜底方案（务必提前演练）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**网络不通或接口限流**：把 ai.provider 改为 mock，系统会用确定性生成器输出报告，功能与界面完全一致，仍然可以演示数值高亮与溯源校验。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**后端未启动**：提前双击“启动后端.bat”，确认 8091 端口就绪，并在演示前调用一次 /api/health 确认数据库连接为 UP。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**数据未重算**：若指标为空，调用一次 POST /api/finance/recalc。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**现场断网**：所有数据已在本地 MySQL，除 AI 生成外全部功能不依赖外网；AI 部分走 mock 即可。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**建议**：提前录一段 90 秒的演示视频作为最终兜底，万一现场设备故障可直接播放。</w:t>
      </w:r>
    </w:p>
    <w:p>
      <w:pPr>
        <w:spacing w:before="280" w:after="120"/>
      </w:pPr>
      <w:r>
        <w:rPr>
          <w:rFonts w:ascii="黑体" w:hAnsi="黑体" w:eastAsia="黑体"/>
          <w:b/>
          <w:sz w:val="28"/>
        </w:rPr>
        <w:t>五、表达上的注意事项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建议这样说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“我们降低了数值幻觉”——可量化、有数据支撑。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“在本实验的 12 个样本上观察到显著差异”——限定范围，严谨。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“每个行业 8 家样本，属小样本案例研究”——主动交代局限。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“C+FS 和 C+RP 没有显著效果，我们如实报告”——把负面结果讲成严谨性的证据。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避免这样说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“彻底消除了幻觉”——没有做到，也不该承诺；实测未溯源数字是 0.2 个/份，不是 0。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“建立了行业基准”——8 家样本不足以称基准，说“行业参照”更稳妥。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“我们的准确率是 99.8%”——要带上口径与样本，说“严格口径下 n=12 的均值”。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“我们的创新是用了大模型”——用大模型不是创新，如何约束它才是。</w:t>
      </w:r>
    </w:p>
    <w:p>
      <w:pPr>
        <w:spacing w:before="200" w:after="120"/>
      </w:pPr>
      <w:r>
        <w:rPr>
          <w:rFonts w:ascii="黑体" w:hAnsi="黑体" w:eastAsia="黑体"/>
          <w:b/>
          <w:sz w:val="24"/>
        </w:rPr>
        <w:t>三个容易被追问的技术细节，务必记牢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**为什么数据注入贡献最大**：模型对未注入的数字只能靠记忆，而财务数字高度具体、训练语料里通常没有，所以基线准确率只有 11.2%。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**为什么方向感知评分必要**：资产负债率、PE、PB 是越低越好，若不做反转，六个维度的分数语义不一致，无法平均成综合评分。</w:t>
      </w:r>
    </w:p>
    <w:p>
      <w:pPr>
        <w:pStyle w:val="ListBullet"/>
        <w:spacing w:after="60" w:line="336" w:lineRule="auto"/>
      </w:pPr>
      <w:r>
        <w:rPr>
          <w:rFonts w:ascii="Calibri" w:hAnsi="Calibri" w:eastAsia="宋体"/>
          <w:b w:val="0"/>
          <w:sz w:val="21"/>
        </w:rPr>
        <w:t>**为什么用精确 p 值**：n=12 时正态近似会失真（0.0005 会被算成 0.0022），scipy 在小样本下使用精确分布。</w:t>
      </w:r>
    </w:p>
    <w:sectPr w:rsidR="00FC693F" w:rsidRPr="0006063C" w:rsidSect="00034616"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