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sz w:val="32"/>
        </w:rPr>
        <w:t>电商用户行为数据分析报告</w:t>
      </w:r>
    </w:p>
    <w:p>
      <w:pPr>
        <w:pStyle w:val="Normal"/>
        <w:spacing w:before="0" w:after="80"/>
        <w:rPr/>
      </w:pPr>
      <w:r>
        <w:rPr>
          <w:sz w:val="18"/>
        </w:rPr>
        <w:t>数据说明：基于</w:t>
      </w:r>
      <w:r>
        <w:rPr>
          <w:sz w:val="18"/>
        </w:rPr>
        <w:t>5000</w:t>
      </w:r>
      <w:r>
        <w:rPr>
          <w:sz w:val="18"/>
        </w:rPr>
        <w:t>条模拟电商用户行为记录，覆盖</w:t>
      </w:r>
      <w:r>
        <w:rPr>
          <w:sz w:val="18"/>
        </w:rPr>
        <w:t>5</w:t>
      </w:r>
      <w:r>
        <w:rPr>
          <w:sz w:val="18"/>
        </w:rPr>
        <w:t>个品类、</w:t>
      </w:r>
      <w:r>
        <w:rPr>
          <w:sz w:val="18"/>
        </w:rPr>
        <w:t>5</w:t>
      </w:r>
      <w:r>
        <w:rPr>
          <w:sz w:val="18"/>
        </w:rPr>
        <w:t>个城市，经过去重、缺失值处理后用于分析。</w:t>
      </w:r>
    </w:p>
    <w:p>
      <w:pPr>
        <w:pStyle w:val="Normal"/>
        <w:spacing w:before="0" w:after="80"/>
        <w:rPr/>
      </w:pPr>
      <w:r>
        <w:rPr>
          <w:sz w:val="18"/>
        </w:rPr>
        <w:t xml:space="preserve">  </w:t>
      </w:r>
      <w:r>
        <w:rPr>
          <w:sz w:val="18"/>
        </w:rPr>
        <w:t>原数据包含大量缺失值，且部分城市字段显示为</w:t>
      </w:r>
      <w:r>
        <w:rPr>
          <w:sz w:val="18"/>
        </w:rPr>
        <w:t>Unknown</w:t>
      </w:r>
      <w:r>
        <w:rPr>
          <w:sz w:val="18"/>
        </w:rPr>
        <w:t>。为满足分析</w:t>
      </w:r>
      <w:r>
        <w:rPr>
          <w:sz w:val="18"/>
        </w:rPr>
        <w:t>要求</w:t>
      </w:r>
      <w:r>
        <w:rPr>
          <w:sz w:val="18"/>
        </w:rPr>
        <w:t>，我在清洗时剔除了</w:t>
      </w:r>
      <w:r>
        <w:rPr>
          <w:sz w:val="18"/>
        </w:rPr>
        <w:t>Unknown</w:t>
      </w:r>
      <w:r>
        <w:rPr>
          <w:sz w:val="18"/>
        </w:rPr>
        <w:t>记录，并明确本报告‘销售额’仅基于购买行为（</w:t>
      </w:r>
      <w:r>
        <w:rPr>
          <w:sz w:val="18"/>
        </w:rPr>
        <w:t>purchase</w:t>
      </w:r>
      <w:r>
        <w:rPr>
          <w:sz w:val="18"/>
        </w:rPr>
        <w:t>）计算；‘漏斗转化率’按独立用户（去重</w:t>
      </w:r>
      <w:r>
        <w:rPr>
          <w:sz w:val="18"/>
        </w:rPr>
        <w:t>user_id</w:t>
      </w:r>
      <w:r>
        <w:rPr>
          <w:sz w:val="18"/>
        </w:rPr>
        <w:t>）计算。分析深度有限，但已完整走通‘取数</w:t>
      </w:r>
      <w:r>
        <w:rPr>
          <w:sz w:val="18"/>
        </w:rPr>
        <w:t>-</w:t>
      </w:r>
      <w:r>
        <w:rPr>
          <w:sz w:val="18"/>
        </w:rPr>
        <w:t>清洗</w:t>
      </w:r>
      <w:r>
        <w:rPr>
          <w:sz w:val="18"/>
        </w:rPr>
        <w:t>-</w:t>
      </w:r>
      <w:r>
        <w:rPr>
          <w:sz w:val="18"/>
        </w:rPr>
        <w:t>分析</w:t>
      </w:r>
      <w:r>
        <w:rPr>
          <w:sz w:val="18"/>
        </w:rPr>
        <w:t>-</w:t>
      </w:r>
      <w:r>
        <w:rPr>
          <w:sz w:val="18"/>
        </w:rPr>
        <w:t>可视化</w:t>
      </w:r>
      <w:r>
        <w:rPr>
          <w:sz w:val="18"/>
        </w:rPr>
        <w:t>-</w:t>
      </w:r>
      <w:r>
        <w:rPr>
          <w:sz w:val="18"/>
        </w:rPr>
        <w:t>结论’全流程。</w:t>
      </w:r>
    </w:p>
    <w:p>
      <w:pPr>
        <w:pStyle w:val="Normal"/>
        <w:spacing w:before="0" w:after="40"/>
        <w:rPr/>
      </w:pPr>
      <w:r>
        <w:rPr>
          <w:b/>
          <w:sz w:val="20"/>
        </w:rPr>
        <w:t>图</w:t>
      </w:r>
      <w:r>
        <w:rPr>
          <w:b/>
          <w:sz w:val="20"/>
        </w:rPr>
        <w:t>1</w:t>
      </w:r>
      <w:r>
        <w:rPr>
          <w:b/>
          <w:sz w:val="20"/>
        </w:rPr>
        <w:t>：各品类销售额对比</w:t>
      </w:r>
    </w:p>
    <w:p>
      <w:pPr>
        <w:pStyle w:val="Normal"/>
        <w:spacing w:before="0" w:after="4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200400" cy="1981200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200400" cy="19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40"/>
        <w:rPr/>
      </w:pPr>
      <w:r>
        <w:rPr>
          <w:b/>
          <w:sz w:val="20"/>
        </w:rPr>
        <w:t>图</w:t>
      </w:r>
      <w:r>
        <w:rPr>
          <w:b/>
          <w:sz w:val="20"/>
        </w:rPr>
        <w:t>2</w:t>
      </w:r>
      <w:r>
        <w:rPr>
          <w:b/>
          <w:sz w:val="20"/>
        </w:rPr>
        <w:t>：用户行为转化漏斗</w:t>
      </w:r>
    </w:p>
    <w:p>
      <w:pPr>
        <w:pStyle w:val="Normal"/>
        <w:spacing w:before="0" w:after="4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200400" cy="198120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200400" cy="19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40"/>
        <w:rPr/>
      </w:pPr>
      <w:r>
        <w:rPr>
          <w:b/>
          <w:sz w:val="20"/>
        </w:rPr>
        <w:t>图</w:t>
      </w:r>
      <w:r>
        <w:rPr>
          <w:b/>
          <w:sz w:val="20"/>
        </w:rPr>
        <w:t>3</w:t>
      </w:r>
      <w:r>
        <w:rPr>
          <w:b/>
          <w:sz w:val="20"/>
        </w:rPr>
        <w:t>：分时段用户活跃分布</w:t>
      </w:r>
    </w:p>
    <w:p>
      <w:pPr>
        <w:pStyle w:val="Normal"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840480" cy="1911350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840480" cy="19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60"/>
        <w:rPr/>
      </w:pPr>
      <w:r>
        <w:rPr>
          <w:b/>
          <w:sz w:val="22"/>
        </w:rPr>
        <w:t>核心结论</w:t>
      </w:r>
    </w:p>
    <w:p>
      <w:pPr>
        <w:pStyle w:val="Normal"/>
        <w:spacing w:before="0" w:after="60"/>
        <w:ind w:left="170"/>
        <w:rPr/>
      </w:pPr>
      <w:r>
        <w:rPr>
          <w:sz w:val="19"/>
        </w:rPr>
        <w:t xml:space="preserve">1. </w:t>
      </w:r>
      <w:r>
        <w:rPr>
          <w:sz w:val="19"/>
        </w:rPr>
        <w:t>品类销售分化明显：</w:t>
      </w:r>
      <w:r>
        <w:rPr>
          <w:sz w:val="19"/>
        </w:rPr>
        <w:t>Home</w:t>
      </w:r>
      <w:r>
        <w:rPr>
          <w:sz w:val="19"/>
        </w:rPr>
        <w:t>品类销售额最高（</w:t>
      </w:r>
      <w:r>
        <w:rPr>
          <w:sz w:val="19"/>
        </w:rPr>
        <w:t>¥10,097</w:t>
      </w:r>
      <w:r>
        <w:rPr>
          <w:sz w:val="19"/>
        </w:rPr>
        <w:t>），是</w:t>
      </w:r>
      <w:r>
        <w:rPr>
          <w:sz w:val="19"/>
        </w:rPr>
        <w:t>Food</w:t>
      </w:r>
      <w:r>
        <w:rPr>
          <w:sz w:val="19"/>
        </w:rPr>
        <w:t>品类（</w:t>
      </w:r>
      <w:r>
        <w:rPr>
          <w:sz w:val="19"/>
        </w:rPr>
        <w:t>¥1,372</w:t>
      </w:r>
      <w:r>
        <w:rPr>
          <w:sz w:val="19"/>
        </w:rPr>
        <w:t>）的</w:t>
      </w:r>
      <w:r>
        <w:rPr>
          <w:sz w:val="19"/>
        </w:rPr>
        <w:t>7.4</w:t>
      </w:r>
      <w:r>
        <w:rPr>
          <w:sz w:val="19"/>
        </w:rPr>
        <w:t>倍，头部品类贡献了主要营收，建议重点投入家居和服饰类商品。</w:t>
      </w:r>
    </w:p>
    <w:p>
      <w:pPr>
        <w:pStyle w:val="Normal"/>
        <w:spacing w:before="0" w:after="60"/>
        <w:ind w:left="170"/>
        <w:rPr/>
      </w:pPr>
      <w:r>
        <w:rPr>
          <w:sz w:val="19"/>
        </w:rPr>
        <w:t xml:space="preserve">2. </w:t>
      </w:r>
      <w:r>
        <w:rPr>
          <w:sz w:val="19"/>
        </w:rPr>
        <w:t>转化漏斗整体健康但仍有提升空间：浏览到加购转化率</w:t>
      </w:r>
      <w:r>
        <w:rPr>
          <w:sz w:val="19"/>
        </w:rPr>
        <w:t>60%</w:t>
      </w:r>
      <w:r>
        <w:rPr>
          <w:sz w:val="19"/>
        </w:rPr>
        <w:t>，加购到购买转化率</w:t>
      </w:r>
      <w:r>
        <w:rPr>
          <w:sz w:val="19"/>
        </w:rPr>
        <w:t>48.2%</w:t>
      </w:r>
      <w:r>
        <w:rPr>
          <w:sz w:val="19"/>
        </w:rPr>
        <w:t>，最终整体浏览→购买转化率</w:t>
      </w:r>
      <w:r>
        <w:rPr>
          <w:sz w:val="19"/>
        </w:rPr>
        <w:t>28.9%</w:t>
      </w:r>
      <w:r>
        <w:rPr>
          <w:sz w:val="19"/>
        </w:rPr>
        <w:t>，可通过优化商品详情页和促销策略进一步提升购买环节转化。</w:t>
      </w:r>
    </w:p>
    <w:p>
      <w:pPr>
        <w:pStyle w:val="Normal"/>
        <w:spacing w:before="0" w:after="60"/>
        <w:ind w:left="170"/>
        <w:rPr/>
      </w:pPr>
      <w:r>
        <w:rPr>
          <w:sz w:val="19"/>
        </w:rPr>
        <w:t xml:space="preserve">3. </w:t>
      </w:r>
      <w:r>
        <w:rPr>
          <w:sz w:val="19"/>
        </w:rPr>
        <w:t>用户活跃呈明显晚间高峰：</w:t>
      </w:r>
      <w:r>
        <w:rPr>
          <w:sz w:val="19"/>
        </w:rPr>
        <w:t>20</w:t>
      </w:r>
      <w:r>
        <w:rPr>
          <w:sz w:val="19"/>
        </w:rPr>
        <w:t>点为全天活跃峰值（</w:t>
      </w:r>
      <w:r>
        <w:rPr>
          <w:sz w:val="19"/>
        </w:rPr>
        <w:t>443</w:t>
      </w:r>
      <w:r>
        <w:rPr>
          <w:sz w:val="19"/>
        </w:rPr>
        <w:t>人），</w:t>
      </w:r>
      <w:r>
        <w:rPr>
          <w:sz w:val="19"/>
        </w:rPr>
        <w:t>19-22</w:t>
      </w:r>
      <w:r>
        <w:rPr>
          <w:sz w:val="19"/>
        </w:rPr>
        <w:t>点是黄金时段，建议将营销活动、推送通知和直播安排在此时段，以最大化触达效果。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Noto Sans CJK SC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微软雅黑" w:cs="Noto Sans CJK SC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Noto Sans CJK SC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2</Pages>
  <Words>423</Words>
  <Characters>490</Characters>
  <CharactersWithSpaces>495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2026-10-08T09:51:25Z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