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sectPr>
          <w:pgSz w:w="11909" w:h="16834"/>
          <w:pgMar w:top="224" w:right="1422" w:bottom="138" w:left="142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9600" cy="749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9" w:h="16834"/>
          <w:pgMar w:top="224" w:right="1422" w:bottom="138" w:left="1420" w:header="720" w:footer="720" w:gutter="0"/>
          <w:cols w:space="720" w:num="2" w:equalWidth="0"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664" w:lineRule="exact" w:before="0" w:after="0"/>
        <w:ind w:left="0" w:right="32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48"/>
        </w:rPr>
        <w:t xml:space="preserve">TEST REPORT </w:t>
      </w:r>
    </w:p>
    <w:p>
      <w:pPr>
        <w:autoSpaceDN w:val="0"/>
        <w:autoSpaceDE w:val="0"/>
        <w:widowControl/>
        <w:spacing w:line="240" w:lineRule="auto" w:before="286" w:after="0"/>
        <w:ind w:left="0" w:right="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8000" cy="50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4"/>
        <w:sectPr>
          <w:type w:val="nextColumn"/>
          <w:pgSz w:w="11909" w:h="16834"/>
          <w:pgMar w:top="224" w:right="1422" w:bottom="138" w:left="1420" w:header="720" w:footer="720" w:gutter="0"/>
          <w:cols w:space="720" w:num="2" w:equalWidth="0">
            <w:col w:w="3484" w:space="0"/>
            <w:col w:w="558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7"/>
        <w:gridCol w:w="2267"/>
        <w:gridCol w:w="2267"/>
        <w:gridCol w:w="2267"/>
      </w:tblGrid>
      <w:tr>
        <w:trPr>
          <w:trHeight w:hRule="exact" w:val="39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8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04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 of  23 </w:t>
            </w:r>
          </w:p>
        </w:tc>
      </w:tr>
      <w:tr>
        <w:trPr>
          <w:trHeight w:hRule="exact" w:val="46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67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Company Name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7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Address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6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6" w:lineRule="exact" w:before="138" w:after="114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Sample Description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3"/>
        <w:gridCol w:w="4533"/>
      </w:tblGrid>
      <w:tr>
        <w:trPr>
          <w:trHeight w:hRule="exact" w:val="337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20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Item No. / Part No. </w:t>
            </w:r>
          </w:p>
          <w:p>
            <w:pPr>
              <w:autoSpaceDN w:val="0"/>
              <w:autoSpaceDE w:val="0"/>
              <w:widowControl/>
              <w:spacing w:line="232" w:lineRule="exact" w:before="32" w:after="0"/>
              <w:ind w:left="20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Material/Color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Manufacturer/Vendor </w:t>
            </w:r>
          </w:p>
          <w:p>
            <w:pPr>
              <w:autoSpaceDN w:val="0"/>
              <w:autoSpaceDE w:val="0"/>
              <w:widowControl/>
              <w:spacing w:line="230" w:lineRule="exact" w:before="228" w:after="0"/>
              <w:ind w:left="20" w:right="115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Received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Period </w:t>
            </w:r>
          </w:p>
          <w:p>
            <w:pPr>
              <w:autoSpaceDN w:val="0"/>
              <w:autoSpaceDE w:val="0"/>
              <w:widowControl/>
              <w:spacing w:line="266" w:lineRule="exact" w:before="3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Type </w:t>
            </w:r>
          </w:p>
          <w:p>
            <w:pPr>
              <w:autoSpaceDN w:val="0"/>
              <w:autoSpaceDE w:val="0"/>
              <w:widowControl/>
              <w:spacing w:line="230" w:lineRule="exact" w:before="344" w:after="0"/>
              <w:ind w:left="20" w:right="10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Site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Method(s)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Results(s) </w:t>
            </w:r>
          </w:p>
        </w:tc>
        <w:tc>
          <w:tcPr>
            <w:tcW w:type="dxa" w:w="6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30" w:lineRule="exact" w:before="238" w:after="0"/>
              <w:ind w:left="422" w:right="345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~ 0000. 00. 00 </w:t>
            </w:r>
          </w:p>
          <w:p>
            <w:pPr>
              <w:autoSpaceDN w:val="0"/>
              <w:tabs>
                <w:tab w:pos="704" w:val="left"/>
              </w:tabs>
              <w:autoSpaceDE w:val="0"/>
              <w:widowControl/>
              <w:spacing w:line="314" w:lineRule="exact" w:before="1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Candidate List of Substances of Very High Concern for authorization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published by European Chemicals Agency (ECHA) Regarding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Regulation (EC) No. 1907/2006 concerning REACH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Fixed Test Lab (RM908~915 126, Beolmal-ro, Dongan-gu, Anyang-si)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</w:tc>
      </w:tr>
    </w:tbl>
    <w:p>
      <w:pPr>
        <w:autoSpaceDN w:val="0"/>
        <w:autoSpaceDE w:val="0"/>
        <w:widowControl/>
        <w:spacing w:line="214" w:lineRule="exact" w:before="4200" w:after="462"/>
        <w:ind w:left="0" w:right="283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Authorized by </w:t>
      </w:r>
    </w:p>
    <w:p>
      <w:pPr>
        <w:sectPr>
          <w:type w:val="continuous"/>
          <w:pgSz w:w="11909" w:h="16834"/>
          <w:pgMar w:top="224" w:right="1422" w:bottom="138" w:left="1420" w:header="720" w:footer="720" w:gutter="0"/>
          <w:cols w:space="720" w:num="1" w:equalWidth="0"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3900" cy="723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4" w:lineRule="exact" w:before="54" w:after="0"/>
        <w:ind w:left="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Scan to see the Report</w:t>
      </w:r>
    </w:p>
    <w:p>
      <w:pPr>
        <w:sectPr>
          <w:type w:val="continuous"/>
          <w:pgSz w:w="11909" w:h="16834"/>
          <w:pgMar w:top="224" w:right="1422" w:bottom="138" w:left="1420" w:header="720" w:footer="720" w:gutter="0"/>
          <w:cols w:space="720" w:num="2" w:equalWidth="0"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34" w:after="0"/>
        <w:ind w:left="1982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Bureau Veritas Korea Co., Ltd.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Consumer Product Services </w:t>
      </w:r>
    </w:p>
    <w:p>
      <w:pPr>
        <w:autoSpaceDN w:val="0"/>
        <w:autoSpaceDE w:val="0"/>
        <w:widowControl/>
        <w:spacing w:line="240" w:lineRule="auto" w:before="0" w:after="0"/>
        <w:ind w:left="0" w:right="16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90650" cy="4864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8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80" w:after="306"/>
        <w:ind w:left="1982" w:right="72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1F487C"/>
          <w:sz w:val="22"/>
        </w:rPr>
        <w:t xml:space="preserve">JIN KIM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Lab Manager / Bureau Veritas Korea CPS</w:t>
      </w:r>
    </w:p>
    <w:p>
      <w:pPr>
        <w:sectPr>
          <w:type w:val="nextColumn"/>
          <w:pgSz w:w="11909" w:h="16834"/>
          <w:pgMar w:top="224" w:right="1422" w:bottom="138" w:left="1420" w:header="720" w:footer="720" w:gutter="0"/>
          <w:cols w:space="720" w:num="2" w:equalWidth="0"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3"/>
        <w:gridCol w:w="4533"/>
      </w:tblGrid>
      <w:tr>
        <w:trPr>
          <w:trHeight w:hRule="exact" w:val="1794"/>
        </w:trPr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Bureau Veritas CPS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RM409, 8F RM901~902, RM908~915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(O-Biz tower) 126, Beolmal-ro, Dongan-gu, Anyang-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si, Gyeonggi-do, 14057, Republic of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Tel :+82.31.688.8000 Fax: +82.31.360.0276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Website: www.bureauveritas.co.kr/cps </w:t>
            </w:r>
          </w:p>
          <w:p>
            <w:pPr>
              <w:autoSpaceDN w:val="0"/>
              <w:autoSpaceDE w:val="0"/>
              <w:widowControl/>
              <w:spacing w:line="166" w:lineRule="exact" w:before="798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This report is governed by, and incorporates by reference, the Conditions of Testing as posted at the date of issuance of this report at http://w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ww.bureauveritas.com/home/about-us/our-business/cps/about-us/terms-conditions/ and is intended for your exclusive use. Any copying or 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plication of this report to or for any other person or entity, or use of our name or trademark, is permitted only with our prior written permissi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on. This report sets forth our findings solely with respect to the test samples identified herein. The results set forth in this report are not indic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ative or representative of the quality or characteristics of the lot from which a test sample was taken or any similar or identical product unles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s specifically and expressly noted. Our report includes all of the tests requested by you and the results thereof based upon the information tha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 you provided to us.  Measurement uncertainty is only provided upon request for accredited tests. Statements of conformity are based on sim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ple acceptance criteria without taking measurement uncertainty into account, unless otherwise requested in writing. You have 60 days from 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ate of issuance of this report to notify us of any material error or omission caused by our negligence or if you require measurement uncertain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ty; provided, however, that such notice shall be in writing and shall specifically address the issue you wish to raise. A failure to raise such iss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ue within the prescribed time shall constitute your unqualified acceptance of the completeness of this report, the tests conducted and the corr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ectness of the report contents. This report is independent of the KOLAS recognition criteria (KS Q ISO/IEC 17025) and KOLAS recognitio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n. This report is independent of the accredited test results by Korea Laboratory Accreditation Scheme, which signed the ILAC-MRA.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9" w:h="16834"/>
          <w:pgMar w:top="224" w:right="1422" w:bottom="138" w:left="1420" w:header="720" w:footer="720" w:gutter="0"/>
          <w:cols w:space="720" w:num="1" w:equalWidth="0"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4" w:lineRule="exact" w:before="47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TEST RESULT</w:t>
      </w:r>
    </w:p>
    <w:p>
      <w:pPr>
        <w:autoSpaceDN w:val="0"/>
        <w:autoSpaceDE w:val="0"/>
        <w:widowControl/>
        <w:spacing w:line="256" w:lineRule="exact" w:before="394" w:after="158"/>
        <w:ind w:left="13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Candidate List of Substances of Very High Concern for authorization published by European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Chemicals Agency (ECHA) Regarding Regulation (EC) No. 1907/2006 concerning REACH.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3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No.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Substance name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29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CAS No.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EC No.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2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Basis for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identification as a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SVHC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2" w:val="left"/>
                <w:tab w:pos="422" w:val="left"/>
              </w:tabs>
              <w:autoSpaceDE w:val="0"/>
              <w:widowControl/>
              <w:spacing w:line="230" w:lineRule="exact" w:before="112" w:after="0"/>
              <w:ind w:left="1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Detection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Limit, </w:t>
            </w:r>
            <w:r>
              <w:br/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8" w:after="0"/>
              <w:ind w:left="144" w:right="144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Result,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Triethyl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15606-95-8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427-700-2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204-371-1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4,4’-Diaminodiphenyl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methane (MDA)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101-77-9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 phthalate (DBP)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 dichloride*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7646-79-9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231-589-4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Carcinogenic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pentaoxide*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1303-28-2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215-116-9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1327-53-3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215-481-4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7789-12-0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(1)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10588-01-9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(2)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234-190-3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5-tert-butyl-2,4,6-trinitro-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m-xylene (musk xylene)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81-15-2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201-329-4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 (2-ethylhexyl)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(DEHP)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cyclododecane (HBCDD)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all major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diastereoisomers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identified: </w:t>
            </w:r>
          </w:p>
          <w:p>
            <w:pPr>
              <w:autoSpaceDN w:val="0"/>
              <w:autoSpaceDE w:val="0"/>
              <w:widowControl/>
              <w:spacing w:line="240" w:lineRule="exact" w:before="24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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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2" w:val="left"/>
              </w:tabs>
              <w:autoSpaceDE w:val="0"/>
              <w:widowControl/>
              <w:spacing w:line="206" w:lineRule="exact" w:before="320" w:after="0"/>
              <w:ind w:left="1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3194-55-6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(3)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25637-99-4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(4)</w:t>
            </w:r>
          </w:p>
          <w:p>
            <w:pPr>
              <w:autoSpaceDN w:val="0"/>
              <w:autoSpaceDE w:val="0"/>
              <w:widowControl/>
              <w:spacing w:line="240" w:lineRule="exact" w:before="3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134237-50-6 </w:t>
            </w:r>
          </w:p>
          <w:p>
            <w:pPr>
              <w:autoSpaceDN w:val="0"/>
              <w:autoSpaceDE w:val="0"/>
              <w:widowControl/>
              <w:spacing w:line="24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134237-51-7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247-148-4,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221-695-9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Alkanes, C10-13, chloro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(Short Chain Chlorinated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Paraffins) (SCCP)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85535-84-8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287-476-5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Bis(tributyltin)oxide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(TBTO)**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56-35-9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200-268-0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hydrogen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7784-40-9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232-064-2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Benzyl butyl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85-68-7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201-622-7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2,4-Dinitrotoluene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121-14-2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204-450-0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90640-80-5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292-602-7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distn.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Lights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fraction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91995-15-2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295-275-9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anthracene-low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90640-81-6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Diisobutyl phthalate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201-553-2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Aluminosilicate,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Zirconia Aluminosilicate,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7758-97-6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231-846-0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 molybdate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sulfate red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104)*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12656-85-8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235-759-9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sulfochromate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34)*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1344-37-2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215-693-7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Tris(2-chloroethyl)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115-96-8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204-118-5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Coal tar pitch, high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temperature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65996-93-2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266-028-2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Acrylamide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79-06-1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201-173-7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Trichloroethylene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201-167-4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1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Boric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10043-35-3,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11113-50-1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233-139-2 /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234-343-4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6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tetraborate,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anhydrous*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1330-43-4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(5)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12179-04-3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(6)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1303-96-4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(7)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215-540-4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Tetraboron disodium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heptaoxide, hydrate*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12267-73-1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235-541-3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chromate*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7775-11-3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231-889-5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dichromate*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232-143-1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7778-50-9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sulphate*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10124-43-3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233-334-2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10141-05-6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233-402-1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carbonate*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513-79-1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208-169-4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diacetate*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71-48-7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200-755-8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109-86-4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203-713-7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110-80-5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203-804-1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1333-82-0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215-607-8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generated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their oligomers: </w:t>
            </w:r>
          </w:p>
          <w:p>
            <w:pPr>
              <w:autoSpaceDN w:val="0"/>
              <w:autoSpaceDE w:val="0"/>
              <w:widowControl/>
              <w:spacing w:line="240" w:lineRule="exact" w:before="1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Chromic acid* </w:t>
            </w:r>
          </w:p>
          <w:p>
            <w:pPr>
              <w:autoSpaceDN w:val="0"/>
              <w:autoSpaceDE w:val="0"/>
              <w:widowControl/>
              <w:spacing w:line="240" w:lineRule="exact" w:before="6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Dichromic acid* </w:t>
            </w:r>
          </w:p>
          <w:p>
            <w:pPr>
              <w:autoSpaceDN w:val="0"/>
              <w:autoSpaceDE w:val="0"/>
              <w:widowControl/>
              <w:spacing w:line="206" w:lineRule="exact" w:before="4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Oligomers of chromic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dichromic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7738-94-5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13530-68-2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231-801-5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236-881-5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111-15-9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203-839-2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1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Strontium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di-C7-11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 and linear alkyl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ester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68515-42-4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271-084-6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4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Hydrazine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4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302-01-2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7803-57-8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206-114-9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59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1-Methyl-2-pyrrolidone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872-50-4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212-828-1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1,2,3-trichloropropane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96-18-4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202-486-1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di-C6-8-branched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ester, C7-rich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71888-89-6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276-158-1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tris(chromate)*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24613-89-6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246-356-2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hydroxyoctaoxodizincated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i-chromate*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11103-86-9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234-329-8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Pentazinc 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octahydroxide*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49663-84-5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256-418-0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Formaldehyde, oligomeric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aniline (technical 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25214-70-4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500-036-1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2-Methoxyaniline;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o-Anisidine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90-04-0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201-963-1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(4-tert-Octylphenol)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140-66-9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205-426-2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1,2-Dichloroethane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ether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111-96-6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203-924-4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Arsenic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7778-39-4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231-901-9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Calcium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7778-44-1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231-904-5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3687-31-8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222-979-5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N,N-dimethylacetamide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(DMAC)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204-826-4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2,2’-dichloro-4,4’-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(MOCA)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101-14-4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202-918-9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Phenolphthalein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77-09-8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201-004-7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azide, Lead diazide*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13424-46-9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236-542-1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styphnate*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15245-44-0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239-290-0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dipicrate*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6477-64-1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229-335-2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1,2-bis(2-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methoxyethoxy)ethane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(TEGDME; triglyme)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112-49-2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203-977-3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1,2-dimethoxyethane;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 glycol dimethyl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(EGDME)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110-71-4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203-794-9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Diboron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1303-86-2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215-125-8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200-842-0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Lead(II)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bis(methanesulfonate)*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17570-76-2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401-750-5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TGIC (1,3,5-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tris(oxiranylmethyl)-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1,3,5-triazine-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2,4,6(1H,3H,5H)-trione)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§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2451-62-9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219-514-3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β-TGIC (1,3,5-tris[(2S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2R)-2,3-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epoxypropyl]-1,3,5-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triazine-2,4,6-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(1H,3H,5H)-trione)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§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59653-74-6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423-400-0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bis(dimethylamino)benzo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ketone)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202-027-5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N,N,N',N'-tetramethyl-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base)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101-61-1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202-959-2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benzhydrylidene]cyclohex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a-2,5-dien-1-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ylidene]dimethylammoniu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 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Violet 3)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548-62-9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208-953-6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[4-[[4-anilino-1-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naphthyl][4-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phenyl]methylene]cycloh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exa-2,5-dien-1-ylidene]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Blue 26)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2580-56-5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219-943-6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α,α-Bis[4-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(dimethylamino)phenyl]-4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(phenylamino)naphthalen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e-1-methanol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Solvent Blue 4)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6786-83-0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229-851-8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4,4'-bis(dimethylamino)-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4''-(methylamino)trityl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alcohol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561-41-1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209-218-2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Bis(pentabromophenyl)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(DecaBDE)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1163-19-5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214-604-9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toxic; very persistent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very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N,N-dimethylformamide;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formamide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68-12-2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200-679-5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 acetic 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625-45-6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210-894-6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Dibutyltin dichloride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(DBT)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683-18-1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211-670-0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1,2-Diethoxyethane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629-14-1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211-076-1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Hexahydro-2-benzofuran-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1,3-dione (HHPA), cis-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trans-cyclohexane-1,2-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85-42-7,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13149-00-3,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14166-21-3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201-604-9,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236-086-3,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238-009-9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8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Hexahydromethylphathalic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25550-51-0,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19438-60-9,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48122-14-1,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57110-29-9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247-094-1,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243-072-0,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256-356-4,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260-566-1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49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- substances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linear and/or branched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chain with a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number of 9 covalently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bound in position 4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phenol, covering also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3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Heptacosafluorotetradecano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 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376-06-7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206-803-4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dipentylester,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and linear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84777-06-0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284-032-2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Henicosafluoroundecanoic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2058-94-8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218-165-4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N-pentyl-isopentylphtalate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(iPnPP)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776297-69-9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Pentacosafluorotridecanoic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72629-94-8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276-745-2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7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4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- covering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well-defined substances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UVCB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Tricosafluorododecanoic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307-55-1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206-203-2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bis(tetrafluoroborate)*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13814-96-5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237-486-0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tetroxide (orange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1314-41-6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215-235-6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64-67-5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200-589-6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Dinoseb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88-85-7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201-861-7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Zirconium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12626-81-2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235-727-4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Acetic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basic*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51404-69-4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257-175-3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Furan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110-00-9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N-methylacetamide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79-16-3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201-182-6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o-Toluidine;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2-Aminotoluene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95-53-4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202-429-0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3-ethyl-2-methyl-2-(3-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methylbutyl)-1,3-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oxazolidine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143860-04-2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421-150-7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4,4'-oxydianiline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101-80-4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[Phthalato(2-)]dioxotrilead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(Dibasic lead phthalate)*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69011-06-9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273-688-5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12060-00-3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235-038-9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12036-76-9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234-853-7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10099-74-8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4-Aminoazobenzene;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4-Phenylazoaniline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60-09-3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200-453-6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cyanamidate*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20837-86-9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244-073-9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Tetralead trioxide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12202-17-4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235-380-9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4-methyl-m-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phenylenediamine (2,4-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toluene-diamine)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95-80-7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202-453-1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Pyrochlore, antimony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8012-00-8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232-382-1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bis(carbonate)dihydroxide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(basic lead carbonate)*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1319-46-6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215-290-6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Dioxobis(stearato)trilead*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12578-12-0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235-702-8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barium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lead-doped*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68784-75-8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272-271-5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Biphenyl-4-ylamine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202-177-1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(lead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monoxide)*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1317-36-8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215-267-0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Pentalead tetraoxide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12065-90-6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Propylene oxide;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1,2-epoxypropane;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methyloxirane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75-56-9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200-879-2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lead salt*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11120-22-2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234-363-3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phosphonate*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12141-20-7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235-252-2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o-aminoazotoluene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97-56-3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202-591-2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1-bromopropane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106-94-5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203-445-0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6-methoxy-m-toluidine (p-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cresidine)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120-71-8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204-419-1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4,4'-methylenedi-o-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838-88-0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212-658-8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Tetraethyllead*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78-00-2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201-075-4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Sulfurous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dibasic*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62229-08-7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263-467-1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Fatty acids, C16-18,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91031-62-8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292-966-7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Diisopentylphthalate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605-50-5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210-088-4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Diazene-1,2-dicarboxamide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(C,C'-azodi(formamide))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8" w:val="left"/>
              </w:tabs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123-77-3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204-650-8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0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7440-43-9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231-152-8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1306-19-0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Dipentyl phthalate (DPP)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131-18-0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205-017-9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1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linear, 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[substances with a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and/or branched alkyl chain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carbon number of 9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position 4 to phenol,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covering  UVCB- and well-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defined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which include any of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and/or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combinations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exact" w:before="4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10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(APFO)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3825-26-1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223-320-4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(PFOA)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206-397-9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1306-23-6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3,3'-[[1,1'-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biphenyl]-4,4'-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diylbis(azo)]bis(4-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aminonaphthalene-1-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sulphonate) (C.I. Direct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573-58-0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209-358-4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4-amino-3-[[4'-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[(2,4diaminophenyl)azo]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[1,1'-biphenyl]-4-yl]azo] 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5-hydroxy-6-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(phenylazo)naphthalene-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2,7-disulphonate (C.I.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Direct Black 38)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1937-37-7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217-710-3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4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149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Imidazolidine-2-thione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(2-imidazoline-2-thiol)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96-45-7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202-506-9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di(acetate)*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301-04-2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206-104-4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Trixylyl 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25155-23-1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246-677-8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4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chloride*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10108-64-2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233-296-7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dihexyl 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271-093-5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peroxometaborate*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7632-04-4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231-556-4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1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perborate;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perboric acid, 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239-172-9;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234-390-0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9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11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fluoride 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7790-79-6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232-222-0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sulphate 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10124-36-4;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31119-53-6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233-331-6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2-benzotriazol-2-yl-4,6-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di-tert-butylphenol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(UV-320)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3846-71-7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223-346-6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2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4,6-ditertpentylphenol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(UV-328)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25973-55-1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247-384-8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15571-58-1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239-622-4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8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Reaction mass of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[[2-[(2-ethylhexyl)oxy]-2-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oxoethyl]thio]-4-octyl-7-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oxo-8-oxa-3,5-dithia-4-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(reaction mass of DOTE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MOTE)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0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di-C6-10-alkyl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esters; 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benzenedicarboxylic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mixed decyl and hexyl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octyl diesters with ≥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0.3% of dihexyl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(EC No. 201-559-5)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68515-51-5;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68648-93-1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271-094-0;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272-013-1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84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1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4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5-sec-butyl-2-(2,4-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[1], 5-sec-butyl-2-(4,6-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[2] [covering any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of [1]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[2]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1,3-propanesultone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1120-71-4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214-317-9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4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2,4-di-tert-butyl-6-(5-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chlorobenzotriazol-2-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yl)phenol (UV-327)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3864-99-1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4-(tert-butyl)-6-(sec-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butyl)phenol (UV-350)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36437-37-3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253-037-1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Nitrobenzene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98-95-3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202-716-0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Perfluorononan-1-oic 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its sodium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375-95-1;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21049-39-8;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4149-60-4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Benzo[def]chrysene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(Benzo[a]pyrene)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50-32-8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200-028-5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1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4,4’-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(bisphenol A; 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80-05-7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201-245-8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7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[substances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linear and/or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alkyl chain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carbon number of 7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predominantly in position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to phenol, covering also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thereof](4-Hpbl)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3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Nonadecafluorodecanoic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(PFDA) and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and ammonium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3830-45-3,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335-76-2,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3108-42-7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206-400-3,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221-470-5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7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04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p-(1,1-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dimethylpropyl)phenol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(PTAP)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80-46-6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201-280-9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Perfluorohexane-1-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sulphonic acid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(PFHxS)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7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1,6,7,8,9,14,15,16,17,17,1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8,18-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Dodecachloropentacyclo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[12.2.1.16,9.02,13.05,10]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octadeca-7,15-diene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(“Dechlorane Plus”TM)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[covering any of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individual anti- and syn-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Benz[a]anthracene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56-55-3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200-280-6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nitrate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10325-94-7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233-710-6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carbonate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hydroxide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21041-95-2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244-168-5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Chrysene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218-01-9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205-923-4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1,3,4-thiadiazolidine-2,5-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dithione, formaldehyde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4-heptylphenol,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Endocrine disrupting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properties (Article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57(f) – environment)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 (RP-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HP) [with ≥0.1% w/w 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182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Octamethylcyclotetrasilox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ane (D4)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556-67-2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209-136-7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Decamethylcyclopentasilo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xane (D5)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541-02-6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Dodecamethylcyclohexasi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loxane (D6)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540-97-6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7439-92-1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231-100-4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octaborate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12008-41-2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234-541-0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Benzo[ghi]perylene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191-24-2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205-883-8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6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Terphenyl hydrogenated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61788-32-7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262-967-7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Ethylenediamine (EDA)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107-15-3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203-468-6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Benzene-1,2,4-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tricarboxylic acid 1,2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 (TMA)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552-30-7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209-008-0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8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Dicyclohexyl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(DCHP)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hydroxyphenyl)-4-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methylpentane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6807-17-6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401-720-1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Benzo[k]fluoranthene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207-08-9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206-44-0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Phenanthrene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85-01-8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201-581-5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Pyrene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129-00-0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204-927-3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1,7,7-trimethyl-3-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(phenylmethylene)bicy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clo[2.2.1]heptan-2-one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(3-benzylidene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camphor; 3-BC)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15087-24-8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239-139-9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110-49-6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203-772-9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Tris(4-nonylphenyl,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branched and linear)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phosphite (TNPP)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≥ 0.1% w/w of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linear (4-NP)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2,3,3,3-tetrafluoro-2-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(heptafluoropropoxy)pr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opionic acid, its salts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acyl halides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(covering any of their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individual isomers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4-tert-butylphenol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(PTBP)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98-54-4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202-679-0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2-benzyl-2-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dimethylamino-4'-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morpholinobutyrophen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119313-12-1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404-360-3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2-methyl-1-(4-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methylthiophenyl)-2-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morpholinopropan-1-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71868-10-5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400-600-6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Diisohexyl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71850-09-4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276-090-2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0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0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Perfluorobutane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sulfonic acid (PFBS)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1-vinylimidazole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1072-63-5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214-012-0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2-methylimidazole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693-98-1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211-765-7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6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(Butylparaben)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94-26-8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202-318-7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Dibutylbis(pentane-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2,4-dionato-O,O')tin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22673-19-4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245-152-0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0.010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bis(2-(2-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methoxyethoxy)ethyl)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ether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143-24-8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205-594-7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Dioctyltin dilaurate,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bis(coco acyloxy)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derivs., and any other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bis(fatty acyloxy) derivs. </w:t>
            </w:r>
          </w:p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wherein C12 is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predominant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number of the fatty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acyloxy moiety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1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1,4-dioxane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123-91-1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204-661-8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8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2,2-bis(bromomethyl)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propane1,3-diol (BMP)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2,2-dimethylpropan-1-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ol, tribromo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derivative/3-bromo-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2,2-bis(bromomethyl)-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1-propanol (TBNPA)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2,3-dibromo-1-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propanol (2,3-DBPA)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3296-90-0,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36483-57-5,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1522-92-5,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96-13-9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9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221-967-7,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253-057-0,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202-480-9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2-(4-tert-butylbenzyl)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propionaldehyde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its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stereoisomers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4,4'-(1-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methylpropylidene)bisp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henol; (bisphenol B)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77-40-7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201-025-1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Glutaral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111-30-8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203-856-5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Medium-chain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chlorinated paraffins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(MCCP) [UVCB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substances consisting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more than or equal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80%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chloroalkanes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carbon chain lengths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within the range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C14 to C17]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74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Orthoboric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sodium salt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13840-56-7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237-560-2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Phenol, alkylation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products (mainly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para position)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C12-rich branched 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linear alkyl chains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oligomerisation,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covering any individual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isomers and/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(PDDP)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(±)-1,7,7-trimethyl-3-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[(4-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methylphenyl)methylen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e]bicyclo[2.2.1]heptan-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2-one covering any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individual isomers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and/or combinations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thereof (4-MBC)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104" w:right="27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6,6'-di-tert-butyl-2,2'-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methylenedi-p-cresol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(DBMC)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119-47-1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204-327-1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S-(tricyclo[5.2.1.0'2,6]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deca-3-en-8(or 9)-yl)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O-(isopropyl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or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ethylhexyl) 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(isopropyl or isobutyl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 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phosphorodithioate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255881-94-8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401-850-9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tris(2-methoxyethoxy)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vinylsilane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1067-53-4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213-934-0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4" w:history="1">
                <w:r>
                  <w:rPr>
                    <w:rStyle w:val="Hyperlink"/>
                  </w:rPr>
                  <w:t>N-(hydroxy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methyl) 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acrylamide </w:t>
                </w:r>
              </w:hyperlink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924-42-5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213-103-2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Mutagenic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1,1'-[ethane-1,2-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diylbisoxy]bis[2,4,6-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tribromobenzene](BTB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37853-59-1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253-692-3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2,2',6,6'-tetrabromo-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)(TBBPA)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79-94-7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201-236-9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sulphonyldiphenol(Bis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 S, BPS)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80-09-1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Barium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diborontetraoxide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13701-59-2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237-222-4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Bis(2-ethylhexyl)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tetrabromophthalate(T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BPH)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hydroxybenzoate(Isobu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4247-02-3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224-208-8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3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5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108-78-1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203-615-4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Perfluoroheptanoicacid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(PFHpA) 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PBT;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vPvB; Equivalent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level of concern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having probable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serious effects 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environment &amp;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</w:tbl>
    <w:p>
      <w:pPr>
        <w:autoSpaceDN w:val="0"/>
        <w:autoSpaceDE w:val="0"/>
        <w:widowControl/>
        <w:spacing w:line="5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reaction mass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(1,1,1,2,3,3,3-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heptafluoropropan-2-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yl)morpholineand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(heptafluoropropyl)mor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pholine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473-390-7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Diphenyl(2,4,6-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trimethylbenzoyl)phosphi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ne 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75980-60-8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278-355-8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Suspected to be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majority of data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submitters agree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 is Skin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sensitising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Bis(4-chlorophenyl)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sulphone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80-07-9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201-247-9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Under assessment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Toxic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266" w:lineRule="exact" w:before="20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(1)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7789-12-0 refers to sodium dichromate dehydrate.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(2)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10588-01-9 refers to anhydrous sodium dichromate. </w:t>
      </w:r>
    </w:p>
    <w:p>
      <w:pPr>
        <w:autoSpaceDN w:val="0"/>
        <w:autoSpaceDE w:val="0"/>
        <w:widowControl/>
        <w:spacing w:line="228" w:lineRule="exact" w:before="36" w:after="0"/>
        <w:ind w:left="122" w:right="129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(3)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3194-55-6 refers to a specific HBCDD - 1, 2, 5, 6, 9, 10-hexabromocyclododecane. 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(4)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25637-99-4 refers to unspecific HBCDD isomer composition.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(5)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1330-43-4 refers to disodium tetraborate, anhydrous.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(6)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12179-04-3 refers to sodium tetraborate, pentahydrate.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(7)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1303-96-4 refers to sodium tetraborate, decahydrate. </w:t>
      </w:r>
    </w:p>
    <w:p>
      <w:pPr>
        <w:autoSpaceDN w:val="0"/>
        <w:tabs>
          <w:tab w:pos="1018" w:val="left"/>
        </w:tabs>
        <w:autoSpaceDE w:val="0"/>
        <w:widowControl/>
        <w:spacing w:line="266" w:lineRule="exact" w:before="192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Method: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Analysis is based on GC, LC, IC, ICP, with various detection techniques and UV. </w:t>
      </w:r>
    </w:p>
    <w:p>
      <w:pPr>
        <w:autoSpaceDN w:val="0"/>
        <w:autoSpaceDE w:val="0"/>
        <w:widowControl/>
        <w:spacing w:line="160" w:lineRule="exact" w:before="5738" w:after="0"/>
        <w:ind w:left="0" w:right="2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70" w:val="left"/>
        </w:tabs>
        <w:autoSpaceDE w:val="0"/>
        <w:widowControl/>
        <w:spacing w:line="82" w:lineRule="exact" w:before="84" w:after="0"/>
        <w:ind w:left="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20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1066" w:val="left"/>
          <w:tab w:pos="1484" w:val="left"/>
        </w:tabs>
        <w:autoSpaceDE w:val="0"/>
        <w:widowControl/>
        <w:spacing w:line="230" w:lineRule="exact" w:before="248" w:after="0"/>
        <w:ind w:left="11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Remark: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PBT = Persistent, bio accumulative and toxic as defined in Regulation (EC) No 1907/2006.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vPvB = Very persistent and very bio accumulative as defined in Regulation (EC) No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1907/2006. </w:t>
      </w:r>
    </w:p>
    <w:p>
      <w:pPr>
        <w:autoSpaceDN w:val="0"/>
        <w:tabs>
          <w:tab w:pos="1484" w:val="left"/>
        </w:tabs>
        <w:autoSpaceDE w:val="0"/>
        <w:widowControl/>
        <w:spacing w:line="266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= Not Detected.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# = Reference with client information(attachment_), _haven’t been tested and consider as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*Result is based on the heavy metal or inorganic element concentration. Due to the limit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analytical technology available, any further investigation is not feasible. The client 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strongly advised to review the chemical formulation to ascertain. </w:t>
      </w:r>
    </w:p>
    <w:p>
      <w:pPr>
        <w:autoSpaceDN w:val="0"/>
        <w:autoSpaceDE w:val="0"/>
        <w:widowControl/>
        <w:spacing w:line="264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**Result is identified by tributyltin (TBT). Due to the limit of the analytical technology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6.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available, any further investigation is not feasible. The client is strongly advised to review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chemical formulation to ascertain. </w:t>
      </w:r>
    </w:p>
    <w:p>
      <w:pPr>
        <w:autoSpaceDN w:val="0"/>
        <w:tabs>
          <w:tab w:pos="1484" w:val="left"/>
          <w:tab w:pos="2248" w:val="left"/>
          <w:tab w:pos="2892" w:val="left"/>
          <w:tab w:pos="3456" w:val="left"/>
          <w:tab w:pos="7786" w:val="left"/>
          <w:tab w:pos="8304" w:val="left"/>
          <w:tab w:pos="8698" w:val="left"/>
        </w:tabs>
        <w:autoSpaceDE w:val="0"/>
        <w:widowControl/>
        <w:spacing w:line="240" w:lineRule="exact" w:before="2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§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(1,3,5-tris(oxiranylmethyl)-1,3,5-triazine-2,4,6(1H,3H,5H)-trione)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β-TGIC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(1,3,5-tris[(2S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2R)-2,3-epoxypropyl]-1,3,5-triazine-2,4,6-(1H,3H,5H)-trione)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are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reported as a mixture. </w:t>
      </w:r>
    </w:p>
    <w:p>
      <w:pPr>
        <w:autoSpaceDN w:val="0"/>
        <w:tabs>
          <w:tab w:pos="1484" w:val="left"/>
        </w:tabs>
        <w:autoSpaceDE w:val="0"/>
        <w:widowControl/>
        <w:spacing w:line="234" w:lineRule="exact" w:before="3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8.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Aluminosilicate, Refractory Ceramic Fibres fulfil the three following conditions: a)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oxides of aluminium and silicon are the main components present (in the fibres) within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variable concentration ranges b) fibres have a length weighted geometric mean diameter less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two standard geometric errors of 6 or less micrometres (µm) c) alkaline oxide and alkali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earth oxide (Na2O+K2O+CaO+MgO+BaO) content less or equal to 18% by weight. </w:t>
      </w:r>
    </w:p>
    <w:p>
      <w:pPr>
        <w:autoSpaceDN w:val="0"/>
        <w:tabs>
          <w:tab w:pos="1484" w:val="left"/>
        </w:tabs>
        <w:autoSpaceDE w:val="0"/>
        <w:widowControl/>
        <w:spacing w:line="236" w:lineRule="exact" w:before="28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9.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b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Zirconia Aluminosilicate, Refractory Ceramic Fibres fulfil the three following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conditions: a) oxides of aluminium, silicon and zirconium are the main components present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(in the fibres) within variable concentration ranges b) fibres have a length weighted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geometric mean diameter less two standard geometric errors of 6 or less micrometres (µm).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c) alkaline oxide and alkali earth oxide (Na2O+K2O+CaO+MgO+BaO) content less or equal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18% by weight.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4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10.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dipentylester,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DPP, DIPP and N-pentyl-isopentylphtalate. </w:t>
      </w:r>
    </w:p>
    <w:p>
      <w:pPr>
        <w:autoSpaceDN w:val="0"/>
        <w:tabs>
          <w:tab w:pos="1484" w:val="left"/>
        </w:tabs>
        <w:autoSpaceDE w:val="0"/>
        <w:widowControl/>
        <w:spacing w:line="228" w:lineRule="exact" w:before="38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≠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PFOA and APFO are reported together. The result is based on PFOA concentration. Due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limit of the analytical technology available, any further investigation is not feasible.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client is strongly advised to review the chemical formulation to ascertain.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dihexyl 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dihexyl phthalate.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ȸ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Result is based on the tin metal concentration, and further confirmation for checking DBT,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DOTE &amp; MOTE concentration. </w:t>
      </w:r>
    </w:p>
    <w:p>
      <w:pPr>
        <w:autoSpaceDN w:val="0"/>
        <w:autoSpaceDE w:val="0"/>
        <w:widowControl/>
        <w:spacing w:line="160" w:lineRule="exact" w:before="4602" w:after="0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62" w:val="left"/>
        </w:tabs>
        <w:autoSpaceDE w:val="0"/>
        <w:widowControl/>
        <w:spacing w:line="82" w:lineRule="exact" w:before="84" w:after="0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63"/>
        <w:gridCol w:w="4563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4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21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380" w:val="left"/>
          <w:tab w:pos="502" w:val="left"/>
          <w:tab w:pos="562" w:val="left"/>
          <w:tab w:pos="626" w:val="left"/>
          <w:tab w:pos="1100" w:val="left"/>
        </w:tabs>
        <w:autoSpaceDE w:val="0"/>
        <w:widowControl/>
        <w:spacing w:line="254" w:lineRule="exact" w:before="248" w:after="0"/>
        <w:ind w:left="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Note: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limit of 0.1% (w/w) applies to an article. The results were calculated assuming as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submitted sample was an article. However, the results may not be applicable if the intended use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sample is a substance or mixture. According to REACH, definition of an article, substance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are: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Article </w:t>
      </w:r>
      <w:r>
        <w:rPr>
          <w:rFonts w:ascii="Times New Roman,Italic" w:hAnsi="Times New Roman,Italic" w:eastAsia="Times New Roman,Italic"/>
          <w:b w:val="0"/>
          <w:i/>
          <w:color w:val="000000"/>
          <w:sz w:val="22"/>
        </w:rPr>
        <w:t xml:space="preserve">-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 object during production is given a special shape, surface or design which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determines its function to a greater degree than does its chemical composition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- A chemical element and its compound in the natural state or obtained by any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manufacturing process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(Previously known as “Preparation”) - A mixture or solution composed of two 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more substances </w:t>
      </w:r>
    </w:p>
    <w:p>
      <w:pPr>
        <w:autoSpaceDN w:val="0"/>
        <w:autoSpaceDE w:val="0"/>
        <w:widowControl/>
        <w:spacing w:line="252" w:lineRule="exact" w:before="504" w:after="0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7 of Regulation (EC) No. 1907/2006 (REACH regulation) – Registration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and notification of substances in articles, any producer or importer of articles shall notify ECHA,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if a substance meets in criteria in Article 57 and is identified in accordance with Article 59(1), if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both (1) the substance is present in those articles in quantities totalling over 1 tonne per producer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or importer per year &amp; (2) the substance is present in those articles above a concentration of 0.1%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weight by weight (w/w) are met.  The information to be notified shall include (a) identity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contact details of the producer or importer, (b) the registration numbers, (c) the identity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(d) the classification of the substance, (e) a brief description of the use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(f) the tonnage range of the substance. </w:t>
      </w:r>
    </w:p>
    <w:p>
      <w:pPr>
        <w:autoSpaceDN w:val="0"/>
        <w:autoSpaceDE w:val="0"/>
        <w:widowControl/>
        <w:spacing w:line="252" w:lineRule="exact" w:before="254" w:after="5002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33 of Regulation (EC) No. 1907/2006 (REACH regulation) – Duty to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communicate information on substances in articles, any supplier of an article containing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meeting the criteria in Article 57 and identified in accordance with Article 59(1) in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concentration above 0.1% weight by weight (w/w) shall provide the recipient of the article with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sufficient information, available to the supplier, to allow safe use of the article including, as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minimum, the name of that substance.  On request by a consumer the relevant information shall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be provided by any supplier of an article free of charge, within 45 days of receipt of the request.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63"/>
        <w:gridCol w:w="4563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62" w:bottom="126" w:left="1420" w:header="720" w:footer="720" w:gutter="0"/>
          <w:cols w:space="720" w:num="1" w:equalWidth="0"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3073400</wp:posOffset>
            </wp:positionV>
            <wp:extent cx="3060700" cy="2717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1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3083560</wp:posOffset>
            </wp:positionV>
            <wp:extent cx="3059429" cy="2701941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270194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2" w:lineRule="exact" w:before="260" w:after="402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  <w:u w:val="single"/>
        </w:rPr>
        <w:t>Photo of the Submitted Sample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8.0" w:type="dxa"/>
      </w:tblPr>
      <w:tblGrid>
        <w:gridCol w:w="9097"/>
      </w:tblGrid>
      <w:tr>
        <w:trPr>
          <w:trHeight w:hRule="exact" w:val="5166"/>
        </w:trPr>
        <w:tc>
          <w:tcPr>
            <w:tcW w:type="dxa" w:w="5616"/>
            <w:tcBorders>
              <w:start w:sz="16.799999999999955" w:val="single" w:color="#000000"/>
              <w:top w:sz="17.600000000000136" w:val="single" w:color="#000000"/>
              <w:end w:sz="17.59999999999991" w:val="single" w:color="#000000"/>
              <w:bottom w:sz="17.59999999999991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65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6" w:space="0"/>
            <w:col w:w="3250" w:space="0"/>
            <w:col w:w="5815" w:space="0"/>
            <w:col w:w="9066" w:space="0"/>
            <w:col w:w="3484" w:space="0"/>
            <w:col w:w="55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2994660</wp:posOffset>
            </wp:positionH>
            <wp:positionV relativeFrom="page">
              <wp:posOffset>3952240</wp:posOffset>
            </wp:positionV>
            <wp:extent cx="1211579" cy="413038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1579" cy="4130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2995930</wp:posOffset>
            </wp:positionH>
            <wp:positionV relativeFrom="page">
              <wp:posOffset>4711700</wp:posOffset>
            </wp:positionV>
            <wp:extent cx="1210309" cy="418222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0309" cy="4182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7470140</wp:posOffset>
            </wp:positionV>
            <wp:extent cx="1209039" cy="417783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039" cy="4177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5548630</wp:posOffset>
            </wp:positionV>
            <wp:extent cx="1198879" cy="466739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8879" cy="4667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3037840</wp:posOffset>
            </wp:positionH>
            <wp:positionV relativeFrom="page">
              <wp:posOffset>6423660</wp:posOffset>
            </wp:positionV>
            <wp:extent cx="1181100" cy="650063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500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8276590</wp:posOffset>
            </wp:positionV>
            <wp:extent cx="1211580" cy="422217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222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3898900</wp:posOffset>
            </wp:positionV>
            <wp:extent cx="1244600" cy="4851401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85140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097"/>
      </w:tblGrid>
      <w:tr>
        <w:trPr>
          <w:trHeight w:hRule="exact" w:val="350"/>
        </w:trPr>
        <w:tc>
          <w:tcPr>
            <w:tcW w:type="dxa" w:w="900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8" w:after="0"/>
              <w:ind w:left="10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Test Flowchart of SVHC Content </w:t>
            </w:r>
          </w:p>
        </w:tc>
      </w:tr>
      <w:tr>
        <w:trPr>
          <w:trHeight w:hRule="exact" w:val="10788"/>
        </w:trPr>
        <w:tc>
          <w:tcPr>
            <w:tcW w:type="dxa" w:w="90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548" w:after="0"/>
              <w:ind w:left="0" w:right="44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</w:t>
            </w:r>
          </w:p>
          <w:p>
            <w:pPr>
              <w:autoSpaceDN w:val="0"/>
              <w:tabs>
                <w:tab w:pos="3912" w:val="left"/>
                <w:tab w:pos="3960" w:val="left"/>
              </w:tabs>
              <w:autoSpaceDE w:val="0"/>
              <w:widowControl/>
              <w:spacing w:line="208" w:lineRule="exact" w:before="714" w:after="0"/>
              <w:ind w:left="3520" w:right="38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Preparation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Cutting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Weight </w:t>
            </w:r>
          </w:p>
          <w:p>
            <w:pPr>
              <w:autoSpaceDN w:val="0"/>
              <w:autoSpaceDE w:val="0"/>
              <w:widowControl/>
              <w:spacing w:line="240" w:lineRule="exact" w:before="644" w:after="0"/>
              <w:ind w:left="0" w:right="403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pretreated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17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digestion and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0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solvent extraction </w:t>
            </w:r>
          </w:p>
          <w:p>
            <w:pPr>
              <w:autoSpaceDN w:val="0"/>
              <w:autoSpaceDE w:val="0"/>
              <w:widowControl/>
              <w:spacing w:line="206" w:lineRule="exact" w:before="712" w:after="0"/>
              <w:ind w:left="3456" w:right="38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Analysis was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performed by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ICP-OES, UV-VIS,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GC/MS, GC/ECD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PLM </w:t>
            </w:r>
          </w:p>
          <w:p>
            <w:pPr>
              <w:autoSpaceDN w:val="0"/>
              <w:autoSpaceDE w:val="0"/>
              <w:widowControl/>
              <w:spacing w:line="240" w:lineRule="exact" w:before="874" w:after="0"/>
              <w:ind w:left="0" w:right="45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Data </w:t>
            </w:r>
          </w:p>
          <w:p>
            <w:pPr>
              <w:autoSpaceDN w:val="0"/>
              <w:autoSpaceDE w:val="0"/>
              <w:widowControl/>
              <w:spacing w:line="240" w:lineRule="exact" w:before="978" w:after="0"/>
              <w:ind w:left="0" w:right="44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Report </w:t>
            </w:r>
          </w:p>
        </w:tc>
      </w:tr>
    </w:tbl>
    <w:p>
      <w:pPr>
        <w:autoSpaceDN w:val="0"/>
        <w:autoSpaceDE w:val="0"/>
        <w:widowControl/>
        <w:spacing w:line="240" w:lineRule="exact" w:before="388" w:after="826"/>
        <w:ind w:left="0" w:right="414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- End of Report -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9" w:h="16834"/>
      <w:pgMar w:top="224" w:right="1392" w:bottom="126" w:left="1420" w:header="720" w:footer="720" w:gutter="0"/>
      <w:cols w:space="720" w:num="1" w:equalWidth="0">
        <w:col w:w="9096" w:space="0"/>
        <w:col w:w="9096" w:space="0"/>
        <w:col w:w="9126" w:space="0"/>
        <w:col w:w="9096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066" w:space="0"/>
        <w:col w:w="3250" w:space="0"/>
        <w:col w:w="5815" w:space="0"/>
        <w:col w:w="9066" w:space="0"/>
        <w:col w:w="3484" w:space="0"/>
        <w:col w:w="558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echa.europa.eu/substance-information/-/substanceinfo/100.011.913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