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firstLine="0"/>
        <w:jc w:val="center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8"/>
          <w:szCs w:val="4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8"/>
          <w:szCs w:val="48"/>
        </w:rPr>
        <w:t>fast-flux域名检测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8"/>
          <w:szCs w:val="4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8"/>
          <w:szCs w:val="48"/>
        </w:rPr>
        <w:t>一、背景介绍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“Fast flux”技术是指不断改变域名和IP地址映射关系的一种技术，即在短时间内查询使用Fast flux技术部署的域名，会得到不同的结果。尽管这种技术有一些合法用途，但它也成为了网络犯罪分子非常喜欢的发起协作攻击的技术。在Honeynet首次观察到这种攻击活动后，fast-flux已被广泛用于网络钓鱼、恶意软件传播、垃圾邮件和其他与犯罪组织有关的恶意活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Fast flux的“fast”是指通过将DNS的Time-To-Live（TTL)设置为一个较小的值，造成DNS响应不会被长时间缓存。它可以快速地在多个设备之间快速变化，每个设备只在很短时间内使用，使得基于IP的黑名单屏蔽和删除工作变得困难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Fast-flux的检测工作中，面临以下难点：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2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1）数据严重不平衡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，真实场景中，fast-flux仅占恶意域名中的少部分，在未知域名中的比例会更低；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2）一些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正常业务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也具有类似fast-flux域名的行为，增加了检测的难度。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8"/>
          <w:szCs w:val="4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8"/>
          <w:szCs w:val="48"/>
        </w:rPr>
        <w:t>二、数据描述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48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本题目提供训练集和测试集，为了方便参赛选手训练模型，train目录下分为数据集文件pdns.csv，和fastfluxt标签文件fastflux_tag.csv，flux域名标签为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 w:val="24"/>
          <w:szCs w:val="24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，非fastflux域名标签为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 w:val="24"/>
          <w:szCs w:val="24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；test目录下为初赛使用的pdns数据集文件、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48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pdns文件为域名在pdns数据库中的查询结果，具体提供的数据及说明见下表：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A）count：解析次数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B）time_first：该解析记录首次观察到时间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C）time_last：该解析记录最后一次观察到时间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D）rrname：解析的域名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E）rrtype：解析的类型，具体查询DNS解析类型（如A，NS，MX，SOA...）。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F）rdata：解析结果，根据不同解析类型响应产生不同结果，比如，A记录对应的是域名解析到IP的结果。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tbl>
      <w:tblPr>
        <w:tblStyle w:val="4"/>
        <w:tblW w:w="7996" w:type="dxa"/>
        <w:tblInd w:w="13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1315"/>
        <w:gridCol w:w="1327"/>
        <w:gridCol w:w="1697"/>
        <w:gridCol w:w="865"/>
        <w:gridCol w:w="204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time_first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time_last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rrname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rrtype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rdata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875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1398943391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1439353872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advection.net.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['23.23.125.143']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1502359032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1502770467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advection.net.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['38.68.11.57']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1638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1496133298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1502352740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advection.net.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['38.68.11.157']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48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对于域名解析的IP信息，如需要可向评委申请关于IP信息查询的云端接口。如地理位置信息的查询。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8"/>
          <w:szCs w:val="4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8"/>
          <w:szCs w:val="48"/>
        </w:rPr>
        <w:t>三、提交格式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通过训练集训练AI模型，对测试集数据进行预测，输出csv标准格式文件，其中fastflux域名标签为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，非fastflux标签域名为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，样例如下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（注：不含表头行）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D7D7D7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D7D7D7"/>
          <w:lang w:val="en-US" w:eastAsia="zh-CN" w:bidi="ar"/>
        </w:rPr>
        <w:t>nofastflux1.com.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D9D9D9"/>
          <w:lang w:val="en-US" w:eastAsia="zh-CN" w:bidi="ar"/>
        </w:rPr>
        <w:t>,0</w:t>
      </w:r>
    </w:p>
    <w:p>
      <w:pPr>
        <w:keepNext w:val="0"/>
        <w:keepLines w:val="0"/>
        <w:widowControl/>
        <w:suppressLineNumbers w:val="0"/>
        <w:shd w:val="clear" w:fill="D7D7D7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D7D7D7"/>
          <w:lang w:val="en-US" w:eastAsia="zh-CN" w:bidi="ar"/>
        </w:rPr>
        <w:t>fastflux.com.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D9D9D9"/>
          <w:lang w:val="en-US" w:eastAsia="zh-CN" w:bidi="ar"/>
        </w:rPr>
        <w:t>,1</w:t>
      </w:r>
    </w:p>
    <w:p>
      <w:pPr>
        <w:keepNext w:val="0"/>
        <w:keepLines w:val="0"/>
        <w:widowControl/>
        <w:suppressLineNumbers w:val="0"/>
        <w:shd w:val="clear" w:fill="D7D7D7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D7D7D7"/>
          <w:lang w:val="en-US" w:eastAsia="zh-CN" w:bidi="ar"/>
        </w:rPr>
        <w:t>nofastflux2.com.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D9D9D9"/>
          <w:lang w:val="en-US" w:eastAsia="zh-CN" w:bidi="ar"/>
        </w:rPr>
        <w:t>,0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8"/>
          <w:szCs w:val="4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8"/>
          <w:szCs w:val="48"/>
        </w:rPr>
        <w:t>四、评分方法</w:t>
      </w:r>
    </w:p>
    <w:tbl>
      <w:tblPr>
        <w:tblStyle w:val="4"/>
        <w:tblW w:w="9480" w:type="dxa"/>
        <w:tblInd w:w="96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833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指标</w:t>
            </w:r>
          </w:p>
        </w:tc>
        <w:tc>
          <w:tcPr>
            <w:tcW w:w="833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TP</w:t>
            </w:r>
          </w:p>
        </w:tc>
        <w:tc>
          <w:tcPr>
            <w:tcW w:w="83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表示fastflux域名被预测为fastflux域名的数目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FP</w:t>
            </w:r>
          </w:p>
        </w:tc>
        <w:tc>
          <w:tcPr>
            <w:tcW w:w="83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表示非fastflux域名被预测为fastflux域名的数目（误报）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TN</w:t>
            </w:r>
          </w:p>
        </w:tc>
        <w:tc>
          <w:tcPr>
            <w:tcW w:w="83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表示非fastflux域名被预测为非fastflux域名的数目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FN</w:t>
            </w:r>
          </w:p>
        </w:tc>
        <w:tc>
          <w:tcPr>
            <w:tcW w:w="83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表示fastflux域名被预测为非fastflux域名的数目（漏报）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8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最终结果评分方法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计算公式</w:t>
            </w:r>
          </w:p>
        </w:tc>
        <w:tc>
          <w:tcPr>
            <w:tcW w:w="833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00" w:beforeAutospacing="0" w:after="100" w:afterAutospacing="0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</w:rPr>
              <w:t>precision = TP / (TP + FP)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00" w:beforeAutospacing="0" w:after="100" w:afterAutospacing="0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</w:rPr>
              <w:t>recall = TP / (TP + FN)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00" w:beforeAutospacing="0" w:after="100" w:afterAutospacing="0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</w:rPr>
              <w:t>score = 2 * precision * recall / (precision + recall)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83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00" w:beforeAutospacing="0" w:after="100" w:afterAutospacing="0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</w:rPr>
              <w:t>当前不考虑准确率和召回率在实际应用中的差异，认为准确率和召回率同等重要。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8"/>
          <w:szCs w:val="4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8"/>
          <w:szCs w:val="48"/>
        </w:rPr>
        <w:t>五、训练集、测试集说明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8"/>
          <w:szCs w:val="48"/>
        </w:rPr>
        <w:t>六、注意事项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8"/>
          <w:szCs w:val="4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8"/>
          <w:szCs w:val="48"/>
        </w:rPr>
        <w:t>七、出题人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E123F"/>
    <w:rsid w:val="2E4A759F"/>
    <w:rsid w:val="7FAE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2022-10-17T07:48:00Z</dcterms:created>
  <dc:creator>User</dc:creator>
  <cp:lastModifiedBy>Administrator</cp:lastModifiedBy>
  <dcterms:modified xsi:type="dcterms:W3CDTF">2022-10-29T08:54:50Z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