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240" w:before="240" w:lineRule="auto"/>
        <w:jc w:val="center"/>
        <w:rPr/>
      </w:pPr>
      <w:bookmarkStart w:colFirst="0" w:colLast="0" w:name="_9i7bx4kuy076" w:id="0"/>
      <w:bookmarkEnd w:id="0"/>
      <w:r w:rsidDel="00000000" w:rsidR="00000000" w:rsidRPr="00000000">
        <w:rPr>
          <w:sz w:val="36"/>
          <w:szCs w:val="36"/>
          <w:rtl w:val="0"/>
        </w:rPr>
        <w:t xml:space="preserve">Virtual screening by Molecular docking  of anti_cancer activity within turmeric phytochemicals compounds that target MetAP2 on patients with liver cancer </w:t>
      </w:r>
      <w:r w:rsidDel="00000000" w:rsidR="00000000" w:rsidRPr="00000000">
        <w:rPr>
          <w:rtl w:val="0"/>
        </w:rPr>
        <w:t xml:space="preserve"> </w:t>
      </w:r>
    </w:p>
    <w:p w:rsidR="00000000" w:rsidDel="00000000" w:rsidP="00000000" w:rsidRDefault="00000000" w:rsidRPr="00000000" w14:paraId="00000002">
      <w:pPr>
        <w:pStyle w:val="Heading2"/>
        <w:spacing w:after="240" w:before="240" w:lineRule="auto"/>
        <w:jc w:val="both"/>
        <w:rPr>
          <w:sz w:val="34"/>
          <w:szCs w:val="34"/>
        </w:rPr>
      </w:pPr>
      <w:bookmarkStart w:colFirst="0" w:colLast="0" w:name="_vlcca6gnr5ya" w:id="1"/>
      <w:bookmarkEnd w:id="1"/>
      <w:r w:rsidDel="00000000" w:rsidR="00000000" w:rsidRPr="00000000">
        <w:rPr>
          <w:sz w:val="34"/>
          <w:szCs w:val="34"/>
          <w:rtl w:val="0"/>
        </w:rPr>
        <w:t xml:space="preserve">Introduction:</w:t>
      </w:r>
    </w:p>
    <w:p w:rsidR="00000000" w:rsidDel="00000000" w:rsidP="00000000" w:rsidRDefault="00000000" w:rsidRPr="00000000" w14:paraId="00000003">
      <w:pPr>
        <w:spacing w:after="240" w:before="240" w:lineRule="auto"/>
        <w:jc w:val="both"/>
        <w:rPr>
          <w:sz w:val="25"/>
          <w:szCs w:val="25"/>
        </w:rPr>
      </w:pPr>
      <w:r w:rsidDel="00000000" w:rsidR="00000000" w:rsidRPr="00000000">
        <w:rPr>
          <w:sz w:val="25"/>
          <w:szCs w:val="25"/>
          <w:rtl w:val="0"/>
        </w:rPr>
        <w:t xml:space="preserve">Liver cancer, particularly hepatocellular carcinoma (HCC), poses a significant global health burden. </w:t>
      </w:r>
      <w:r w:rsidDel="00000000" w:rsidR="00000000" w:rsidRPr="00000000">
        <w:rPr>
          <w:sz w:val="23"/>
          <w:szCs w:val="23"/>
          <w:rtl w:val="0"/>
        </w:rPr>
        <w:t xml:space="preserve">It </w:t>
      </w:r>
      <w:r w:rsidDel="00000000" w:rsidR="00000000" w:rsidRPr="00000000">
        <w:rPr>
          <w:color w:val="1b1b1b"/>
          <w:sz w:val="26"/>
          <w:szCs w:val="26"/>
          <w:highlight w:val="white"/>
          <w:rtl w:val="0"/>
        </w:rPr>
        <w:t xml:space="preserve">is the third leading cause of cancer-related deaths worldwide</w:t>
      </w:r>
      <w:r w:rsidDel="00000000" w:rsidR="00000000" w:rsidRPr="00000000">
        <w:rPr>
          <w:sz w:val="23"/>
          <w:szCs w:val="23"/>
          <w:rtl w:val="0"/>
        </w:rPr>
        <w:t xml:space="preserve"> </w:t>
      </w:r>
      <w:r w:rsidDel="00000000" w:rsidR="00000000" w:rsidRPr="00000000">
        <w:rPr>
          <w:sz w:val="25"/>
          <w:szCs w:val="25"/>
          <w:rtl w:val="0"/>
        </w:rPr>
        <w:t xml:space="preserve">This aggressive malignancy demands the exploration of novel therapeutic strategies. Here, we focus on the interplay between Methionine aminopeptidase 2 (MetAP2) and turmeric’s phytochemicals compounds in the context of HCC.</w:t>
      </w:r>
    </w:p>
    <w:p w:rsidR="00000000" w:rsidDel="00000000" w:rsidP="00000000" w:rsidRDefault="00000000" w:rsidRPr="00000000" w14:paraId="00000004">
      <w:pPr>
        <w:spacing w:after="240" w:before="240" w:lineRule="auto"/>
        <w:jc w:val="both"/>
        <w:rPr>
          <w:sz w:val="25"/>
          <w:szCs w:val="25"/>
        </w:rPr>
      </w:pPr>
      <w:r w:rsidDel="00000000" w:rsidR="00000000" w:rsidRPr="00000000">
        <w:rPr>
          <w:sz w:val="25"/>
          <w:szCs w:val="25"/>
          <w:rtl w:val="0"/>
        </w:rPr>
        <w:t xml:space="preserve">MetAP2, a protein involved in newly synthesized protein processing it</w:t>
      </w:r>
      <w:r w:rsidDel="00000000" w:rsidR="00000000" w:rsidRPr="00000000">
        <w:rPr>
          <w:sz w:val="28"/>
          <w:szCs w:val="28"/>
          <w:rtl w:val="0"/>
        </w:rPr>
        <w:t xml:space="preserve"> </w:t>
      </w:r>
      <w:r w:rsidDel="00000000" w:rsidR="00000000" w:rsidRPr="00000000">
        <w:rPr>
          <w:color w:val="212121"/>
          <w:sz w:val="26"/>
          <w:szCs w:val="26"/>
          <w:highlight w:val="white"/>
          <w:rtl w:val="0"/>
        </w:rPr>
        <w:t xml:space="preserve">catalyzes the hydrolytic cleavage of the N-terminal methionine</w:t>
      </w:r>
      <w:r w:rsidDel="00000000" w:rsidR="00000000" w:rsidRPr="00000000">
        <w:rPr>
          <w:sz w:val="25"/>
          <w:szCs w:val="25"/>
          <w:rtl w:val="0"/>
        </w:rPr>
        <w:t xml:space="preserve">, MetAP2 has emerged as a potential target in cancer progression due to its association with angiogenesis, cell proliferation, and poor unfavorable prognosis in HCC patients.</w:t>
      </w:r>
    </w:p>
    <w:p w:rsidR="00000000" w:rsidDel="00000000" w:rsidP="00000000" w:rsidRDefault="00000000" w:rsidRPr="00000000" w14:paraId="00000005">
      <w:pPr>
        <w:spacing w:after="240" w:before="240" w:lineRule="auto"/>
        <w:jc w:val="both"/>
        <w:rPr>
          <w:sz w:val="25"/>
          <w:szCs w:val="25"/>
        </w:rPr>
      </w:pPr>
      <w:r w:rsidDel="00000000" w:rsidR="00000000" w:rsidRPr="00000000">
        <w:rPr>
          <w:sz w:val="25"/>
          <w:szCs w:val="25"/>
          <w:rtl w:val="0"/>
        </w:rPr>
        <w:t xml:space="preserve">Turmeric (Curcuma longa), has garnered considerable interest for its anti-cancer properties. Studies suggest its ability to inhibit cancer cell growth and proliferation while promoting apoptosis (programmed cell death).</w:t>
      </w:r>
    </w:p>
    <w:p w:rsidR="00000000" w:rsidDel="00000000" w:rsidP="00000000" w:rsidRDefault="00000000" w:rsidRPr="00000000" w14:paraId="00000006">
      <w:pPr>
        <w:pStyle w:val="Heading2"/>
        <w:spacing w:after="240" w:before="240" w:lineRule="auto"/>
        <w:jc w:val="both"/>
        <w:rPr>
          <w:b w:val="1"/>
          <w:sz w:val="21"/>
          <w:szCs w:val="21"/>
        </w:rPr>
      </w:pPr>
      <w:bookmarkStart w:colFirst="0" w:colLast="0" w:name="_e4l7bjvbd6a0" w:id="2"/>
      <w:bookmarkEnd w:id="2"/>
      <w:r w:rsidDel="00000000" w:rsidR="00000000" w:rsidRPr="00000000">
        <w:rPr>
          <w:sz w:val="34"/>
          <w:szCs w:val="34"/>
          <w:rtl w:val="0"/>
        </w:rPr>
        <w:t xml:space="preserve">Phytochemicals libraries:</w:t>
      </w:r>
      <w:r w:rsidDel="00000000" w:rsidR="00000000" w:rsidRPr="00000000">
        <w:rPr>
          <w:rtl w:val="0"/>
        </w:rPr>
      </w:r>
    </w:p>
    <w:p w:rsidR="00000000" w:rsidDel="00000000" w:rsidP="00000000" w:rsidRDefault="00000000" w:rsidRPr="00000000" w14:paraId="00000007">
      <w:pPr>
        <w:spacing w:after="240" w:before="240" w:lineRule="auto"/>
        <w:jc w:val="both"/>
        <w:rPr>
          <w:sz w:val="25"/>
          <w:szCs w:val="25"/>
        </w:rPr>
      </w:pPr>
      <w:r w:rsidDel="00000000" w:rsidR="00000000" w:rsidRPr="00000000">
        <w:rPr>
          <w:sz w:val="25"/>
          <w:szCs w:val="25"/>
          <w:rtl w:val="0"/>
        </w:rPr>
        <w:t xml:space="preserve">A library of 51 phytochemicals from turmeric was curated. These compounds included curcumin, demethoxycurcumin, and zingiberene, along with other terpenes and sesquiterpenes. All these were documented with their chemical name, structure in SDF format, and source—PubChem CID, scientific references to source. This phytochemical library would be useful in the next step of molecular docking by providing a set of compounds with their structures for interaction analysis .</w:t>
      </w:r>
    </w:p>
    <w:p w:rsidR="00000000" w:rsidDel="00000000" w:rsidP="00000000" w:rsidRDefault="00000000" w:rsidRPr="00000000" w14:paraId="00000008">
      <w:pPr>
        <w:pStyle w:val="Heading2"/>
        <w:spacing w:after="240" w:before="240" w:lineRule="auto"/>
        <w:jc w:val="both"/>
        <w:rPr>
          <w:sz w:val="34"/>
          <w:szCs w:val="34"/>
        </w:rPr>
      </w:pPr>
      <w:bookmarkStart w:colFirst="0" w:colLast="0" w:name="_f88d652gqn6a" w:id="3"/>
      <w:bookmarkEnd w:id="3"/>
      <w:r w:rsidDel="00000000" w:rsidR="00000000" w:rsidRPr="00000000">
        <w:rPr>
          <w:sz w:val="34"/>
          <w:szCs w:val="34"/>
          <w:rtl w:val="0"/>
        </w:rPr>
        <w:t xml:space="preserve">Protein Preparation:</w:t>
      </w:r>
    </w:p>
    <w:p w:rsidR="00000000" w:rsidDel="00000000" w:rsidP="00000000" w:rsidRDefault="00000000" w:rsidRPr="00000000" w14:paraId="00000009">
      <w:pPr>
        <w:spacing w:after="240" w:before="240" w:lineRule="auto"/>
        <w:jc w:val="both"/>
        <w:rPr>
          <w:sz w:val="23"/>
          <w:szCs w:val="23"/>
        </w:rPr>
      </w:pPr>
      <w:r w:rsidDel="00000000" w:rsidR="00000000" w:rsidRPr="00000000">
        <w:rPr>
          <w:sz w:val="25"/>
          <w:szCs w:val="25"/>
          <w:rtl w:val="0"/>
        </w:rPr>
        <w:t xml:space="preserve">A </w:t>
      </w:r>
      <w:r w:rsidDel="00000000" w:rsidR="00000000" w:rsidRPr="00000000">
        <w:rPr>
          <w:sz w:val="25"/>
          <w:szCs w:val="25"/>
          <w:rtl w:val="0"/>
        </w:rPr>
        <w:t xml:space="preserve">protein structure with PDB ID 1R58, which corresponds to Methionine Aminopeptidase 2 (MetAP2), was selected as the target for docking analysis. Cleaning of the protein structure was done using PyMOL by removing water molecules comprising 416 atoms together with bound ligands/hetero atoms comprising 25 atoms. Hydrogens were thereafter added to the structure because accurate protein-ligand interactions depend on hydrogens during docking. Charges were finally added to the protein with the help of tools available in PyMOL to ensure proper molecular interactions. This step ensured that the </w:t>
      </w:r>
      <w:r w:rsidDel="00000000" w:rsidR="00000000" w:rsidRPr="00000000">
        <w:rPr>
          <w:sz w:val="23"/>
          <w:szCs w:val="23"/>
          <w:rtl w:val="0"/>
        </w:rPr>
        <w:t xml:space="preserve">protein structure was optimized for the docking process by being free from unnecessary components and chemically complete.</w:t>
      </w:r>
    </w:p>
    <w:p w:rsidR="00000000" w:rsidDel="00000000" w:rsidP="00000000" w:rsidRDefault="00000000" w:rsidRPr="00000000" w14:paraId="0000000A">
      <w:pPr>
        <w:spacing w:after="240" w:before="240" w:lineRule="auto"/>
        <w:jc w:val="both"/>
        <w:rPr>
          <w:b w:val="1"/>
          <w:sz w:val="19"/>
          <w:szCs w:val="19"/>
        </w:rPr>
      </w:pPr>
      <w:r w:rsidDel="00000000" w:rsidR="00000000" w:rsidRPr="00000000">
        <w:rPr>
          <w:b w:val="1"/>
          <w:sz w:val="19"/>
          <w:szCs w:val="19"/>
        </w:rPr>
        <w:drawing>
          <wp:inline distB="114300" distT="114300" distL="114300" distR="114300">
            <wp:extent cx="5943600" cy="29210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jc w:val="both"/>
        <w:rPr>
          <w:b w:val="1"/>
          <w:sz w:val="19"/>
          <w:szCs w:val="19"/>
        </w:rPr>
      </w:pPr>
      <w:r w:rsidDel="00000000" w:rsidR="00000000" w:rsidRPr="00000000">
        <w:rPr>
          <w:b w:val="1"/>
          <w:sz w:val="19"/>
          <w:szCs w:val="19"/>
          <w:rtl w:val="0"/>
        </w:rPr>
        <w:t xml:space="preserve">Figure 1 : Visulization of the prepared protein. </w:t>
      </w:r>
    </w:p>
    <w:p w:rsidR="00000000" w:rsidDel="00000000" w:rsidP="00000000" w:rsidRDefault="00000000" w:rsidRPr="00000000" w14:paraId="0000000C">
      <w:pPr>
        <w:pStyle w:val="Heading2"/>
        <w:spacing w:after="240" w:before="240" w:lineRule="auto"/>
        <w:jc w:val="both"/>
        <w:rPr>
          <w:sz w:val="34"/>
          <w:szCs w:val="34"/>
        </w:rPr>
      </w:pPr>
      <w:bookmarkStart w:colFirst="0" w:colLast="0" w:name="_c2yzygcdd6ja" w:id="4"/>
      <w:bookmarkEnd w:id="4"/>
      <w:r w:rsidDel="00000000" w:rsidR="00000000" w:rsidRPr="00000000">
        <w:rPr>
          <w:sz w:val="34"/>
          <w:szCs w:val="34"/>
          <w:rtl w:val="0"/>
        </w:rPr>
        <w:t xml:space="preserve">Molecular Docking of Turmeric Compounds against MetAP2:</w:t>
      </w:r>
    </w:p>
    <w:p w:rsidR="00000000" w:rsidDel="00000000" w:rsidP="00000000" w:rsidRDefault="00000000" w:rsidRPr="00000000" w14:paraId="0000000D">
      <w:pPr>
        <w:spacing w:after="240" w:before="240" w:lineRule="auto"/>
        <w:rPr>
          <w:sz w:val="25"/>
          <w:szCs w:val="25"/>
        </w:rPr>
      </w:pPr>
      <w:r w:rsidDel="00000000" w:rsidR="00000000" w:rsidRPr="00000000">
        <w:rPr>
          <w:sz w:val="25"/>
          <w:szCs w:val="25"/>
          <w:rtl w:val="0"/>
        </w:rPr>
        <w:t xml:space="preserve">CASTp was used to obtain active sites for MetAP2. The energy minimization of the 51 curated turmeric compounds was done using PyRx , after which structures of protein and ligand were converted to the pdbqt format for docking. Simulations of docking were conducted with the aid of a grid box laid over the active site, creating multiple binding modes for each ligand. The binding affinity analysis revealed six turmeric compounds with the top binding affinities to MetAP2: Cyclocurcumin Model 1 (-8.9 kcal/mol), Curcumol Model 1 (-8.6 kcal/mol), Cyclocurcumin Model 2 (-8.6 kcal/mol), Cyclocurcumin Model 3 (-8.5 kcal/mol), Tetrahydrocurcumin Model 1 (-8.3 kcal/mol), and Demethoxycurcumin Model 1 (-8.1 kcal/mol).</w:t>
      </w:r>
    </w:p>
    <w:p w:rsidR="00000000" w:rsidDel="00000000" w:rsidP="00000000" w:rsidRDefault="00000000" w:rsidRPr="00000000" w14:paraId="0000000E">
      <w:pPr>
        <w:spacing w:after="240" w:before="240" w:lineRule="auto"/>
        <w:jc w:val="center"/>
        <w:rPr>
          <w:sz w:val="25"/>
          <w:szCs w:val="25"/>
        </w:rPr>
      </w:pPr>
      <w:r w:rsidDel="00000000" w:rsidR="00000000" w:rsidRPr="00000000">
        <w:rPr>
          <w:sz w:val="25"/>
          <w:szCs w:val="25"/>
        </w:rPr>
        <w:drawing>
          <wp:inline distB="114300" distT="114300" distL="114300" distR="114300">
            <wp:extent cx="4019550" cy="329565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195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2"/>
        <w:spacing w:after="240" w:before="240" w:lineRule="auto"/>
        <w:rPr>
          <w:b w:val="1"/>
          <w:sz w:val="18"/>
          <w:szCs w:val="18"/>
          <w:highlight w:val="white"/>
        </w:rPr>
      </w:pPr>
      <w:bookmarkStart w:colFirst="0" w:colLast="0" w:name="_sody637yjh9p" w:id="5"/>
      <w:bookmarkEnd w:id="5"/>
      <w:r w:rsidDel="00000000" w:rsidR="00000000" w:rsidRPr="00000000">
        <w:rPr>
          <w:b w:val="1"/>
          <w:sz w:val="18"/>
          <w:szCs w:val="18"/>
          <w:highlight w:val="white"/>
          <w:rtl w:val="0"/>
        </w:rPr>
        <w:t xml:space="preserve">Crystal Structure of MetAP2 complexed with A357300 showing the most active pocket</w:t>
      </w:r>
    </w:p>
    <w:p w:rsidR="00000000" w:rsidDel="00000000" w:rsidP="00000000" w:rsidRDefault="00000000" w:rsidRPr="00000000" w14:paraId="00000010">
      <w:pPr>
        <w:pStyle w:val="Heading2"/>
        <w:rPr/>
      </w:pPr>
      <w:bookmarkStart w:colFirst="0" w:colLast="0" w:name="_o8tok23qbbjv" w:id="6"/>
      <w:bookmarkEnd w:id="6"/>
      <w:r w:rsidDel="00000000" w:rsidR="00000000" w:rsidRPr="00000000">
        <w:rPr>
          <w:rtl w:val="0"/>
        </w:rPr>
      </w:r>
    </w:p>
    <w:p w:rsidR="00000000" w:rsidDel="00000000" w:rsidP="00000000" w:rsidRDefault="00000000" w:rsidRPr="00000000" w14:paraId="00000011">
      <w:pPr>
        <w:pStyle w:val="Heading2"/>
        <w:spacing w:after="240" w:before="240" w:lineRule="auto"/>
        <w:jc w:val="both"/>
        <w:rPr/>
      </w:pPr>
      <w:bookmarkStart w:colFirst="0" w:colLast="0" w:name="_1tpmgcfa4urx" w:id="7"/>
      <w:bookmarkEnd w:id="7"/>
      <w:r w:rsidDel="00000000" w:rsidR="00000000" w:rsidRPr="00000000">
        <w:rPr>
          <w:rtl w:val="0"/>
        </w:rPr>
      </w:r>
    </w:p>
    <w:p w:rsidR="00000000" w:rsidDel="00000000" w:rsidP="00000000" w:rsidRDefault="00000000" w:rsidRPr="00000000" w14:paraId="00000012">
      <w:pPr>
        <w:pStyle w:val="Heading2"/>
        <w:spacing w:after="240" w:before="240" w:lineRule="auto"/>
        <w:rPr/>
      </w:pPr>
      <w:bookmarkStart w:colFirst="0" w:colLast="0" w:name="_8uw55o4usev6" w:id="8"/>
      <w:bookmarkEnd w:id="8"/>
      <w:r w:rsidDel="00000000" w:rsidR="00000000" w:rsidRPr="00000000">
        <w:rPr>
          <w:rtl w:val="0"/>
        </w:rPr>
      </w:r>
    </w:p>
    <w:p w:rsidR="00000000" w:rsidDel="00000000" w:rsidP="00000000" w:rsidRDefault="00000000" w:rsidRPr="00000000" w14:paraId="00000013">
      <w:pPr>
        <w:pStyle w:val="Heading2"/>
        <w:spacing w:after="240" w:before="240" w:lineRule="auto"/>
        <w:rPr/>
      </w:pPr>
      <w:bookmarkStart w:colFirst="0" w:colLast="0" w:name="_1tav9a2o57ec" w:id="9"/>
      <w:bookmarkEnd w:id="9"/>
      <w:r w:rsidDel="00000000" w:rsidR="00000000" w:rsidRPr="00000000">
        <w:rPr>
          <w:rtl w:val="0"/>
        </w:rPr>
        <w:t xml:space="preserve">Visualizations of the six models with the highest binding affinity:</w:t>
      </w:r>
    </w:p>
    <w:p w:rsidR="00000000" w:rsidDel="00000000" w:rsidP="00000000" w:rsidRDefault="00000000" w:rsidRPr="00000000" w14:paraId="00000014">
      <w:pPr>
        <w:rPr/>
      </w:pPr>
      <w:r w:rsidDel="00000000" w:rsidR="00000000" w:rsidRPr="00000000">
        <w:rPr>
          <w:sz w:val="24"/>
          <w:szCs w:val="24"/>
          <w:rtl w:val="0"/>
        </w:rPr>
        <w:t xml:space="preserve">The binding modes of the top compounds with the highest affinities were visualized using Pymol to gain insights into their interactions within the active site of MetAP2</w:t>
      </w:r>
      <w:r w:rsidDel="00000000" w:rsidR="00000000" w:rsidRPr="00000000">
        <w:rPr>
          <w:rtl w:val="0"/>
        </w:rPr>
      </w:r>
    </w:p>
    <w:p w:rsidR="00000000" w:rsidDel="00000000" w:rsidP="00000000" w:rsidRDefault="00000000" w:rsidRPr="00000000" w14:paraId="00000015">
      <w:pPr>
        <w:spacing w:after="240" w:before="240" w:lineRule="auto"/>
        <w:jc w:val="both"/>
        <w:rPr>
          <w:b w:val="1"/>
          <w:sz w:val="19"/>
          <w:szCs w:val="19"/>
        </w:rPr>
      </w:pPr>
      <w:r w:rsidDel="00000000" w:rsidR="00000000" w:rsidRPr="00000000">
        <w:rPr>
          <w:b w:val="1"/>
          <w:sz w:val="19"/>
          <w:szCs w:val="19"/>
        </w:rPr>
        <w:drawing>
          <wp:inline distB="114300" distT="114300" distL="114300" distR="114300">
            <wp:extent cx="5943600" cy="24130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413000"/>
                    </a:xfrm>
                    <a:prstGeom prst="rect"/>
                    <a:ln/>
                  </pic:spPr>
                </pic:pic>
              </a:graphicData>
            </a:graphic>
          </wp:inline>
        </w:drawing>
      </w:r>
      <w:r w:rsidDel="00000000" w:rsidR="00000000" w:rsidRPr="00000000">
        <w:rPr>
          <w:b w:val="1"/>
          <w:sz w:val="19"/>
          <w:szCs w:val="19"/>
          <w:rtl w:val="0"/>
        </w:rPr>
        <w:t xml:space="preserve">Figure 2: Curcumol model 1(deepblue) on the protein binding site (AA residue on green).</w:t>
      </w:r>
    </w:p>
    <w:p w:rsidR="00000000" w:rsidDel="00000000" w:rsidP="00000000" w:rsidRDefault="00000000" w:rsidRPr="00000000" w14:paraId="00000016">
      <w:pPr>
        <w:spacing w:after="240" w:before="240" w:lineRule="auto"/>
        <w:jc w:val="both"/>
        <w:rPr>
          <w:b w:val="1"/>
          <w:sz w:val="19"/>
          <w:szCs w:val="19"/>
        </w:rPr>
      </w:pPr>
      <w:r w:rsidDel="00000000" w:rsidR="00000000" w:rsidRPr="00000000">
        <w:rPr>
          <w:rtl w:val="0"/>
        </w:rPr>
      </w:r>
    </w:p>
    <w:p w:rsidR="00000000" w:rsidDel="00000000" w:rsidP="00000000" w:rsidRDefault="00000000" w:rsidRPr="00000000" w14:paraId="00000017">
      <w:pPr>
        <w:spacing w:after="240" w:before="240" w:lineRule="auto"/>
        <w:jc w:val="both"/>
        <w:rPr>
          <w:b w:val="1"/>
          <w:sz w:val="19"/>
          <w:szCs w:val="19"/>
        </w:rPr>
      </w:pPr>
      <w:r w:rsidDel="00000000" w:rsidR="00000000" w:rsidRPr="00000000">
        <w:rPr>
          <w:rtl w:val="0"/>
        </w:rPr>
      </w:r>
    </w:p>
    <w:p w:rsidR="00000000" w:rsidDel="00000000" w:rsidP="00000000" w:rsidRDefault="00000000" w:rsidRPr="00000000" w14:paraId="00000018">
      <w:pPr>
        <w:spacing w:after="240" w:before="240" w:lineRule="auto"/>
        <w:jc w:val="both"/>
        <w:rPr>
          <w:b w:val="1"/>
          <w:sz w:val="19"/>
          <w:szCs w:val="19"/>
        </w:rPr>
      </w:pPr>
      <w:r w:rsidDel="00000000" w:rsidR="00000000" w:rsidRPr="00000000">
        <w:rPr>
          <w:b w:val="1"/>
          <w:sz w:val="19"/>
          <w:szCs w:val="19"/>
        </w:rPr>
        <w:drawing>
          <wp:inline distB="114300" distT="114300" distL="114300" distR="114300">
            <wp:extent cx="5943600" cy="26035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jc w:val="both"/>
        <w:rPr>
          <w:b w:val="1"/>
          <w:sz w:val="19"/>
          <w:szCs w:val="19"/>
        </w:rPr>
      </w:pPr>
      <w:r w:rsidDel="00000000" w:rsidR="00000000" w:rsidRPr="00000000">
        <w:rPr>
          <w:b w:val="1"/>
          <w:sz w:val="19"/>
          <w:szCs w:val="19"/>
          <w:rtl w:val="0"/>
        </w:rPr>
        <w:t xml:space="preserve">Figure 3 : Cyclocurcumin model 1 ( deepblue ) on the binding site.</w:t>
      </w:r>
    </w:p>
    <w:p w:rsidR="00000000" w:rsidDel="00000000" w:rsidP="00000000" w:rsidRDefault="00000000" w:rsidRPr="00000000" w14:paraId="0000001A">
      <w:pPr>
        <w:spacing w:after="240" w:before="240" w:lineRule="auto"/>
        <w:jc w:val="both"/>
        <w:rPr>
          <w:b w:val="1"/>
          <w:sz w:val="19"/>
          <w:szCs w:val="19"/>
        </w:rPr>
      </w:pPr>
      <w:r w:rsidDel="00000000" w:rsidR="00000000" w:rsidRPr="00000000">
        <w:rPr>
          <w:rtl w:val="0"/>
        </w:rPr>
      </w:r>
    </w:p>
    <w:p w:rsidR="00000000" w:rsidDel="00000000" w:rsidP="00000000" w:rsidRDefault="00000000" w:rsidRPr="00000000" w14:paraId="0000001B">
      <w:pPr>
        <w:spacing w:after="240" w:before="240" w:lineRule="auto"/>
        <w:jc w:val="both"/>
        <w:rPr>
          <w:b w:val="1"/>
          <w:sz w:val="19"/>
          <w:szCs w:val="19"/>
        </w:rPr>
      </w:pPr>
      <w:r w:rsidDel="00000000" w:rsidR="00000000" w:rsidRPr="00000000">
        <w:rPr>
          <w:rtl w:val="0"/>
        </w:rPr>
      </w:r>
    </w:p>
    <w:p w:rsidR="00000000" w:rsidDel="00000000" w:rsidP="00000000" w:rsidRDefault="00000000" w:rsidRPr="00000000" w14:paraId="0000001C">
      <w:pPr>
        <w:spacing w:after="240" w:before="240" w:lineRule="auto"/>
        <w:jc w:val="both"/>
        <w:rPr>
          <w:b w:val="1"/>
          <w:sz w:val="19"/>
          <w:szCs w:val="19"/>
        </w:rPr>
      </w:pPr>
      <w:r w:rsidDel="00000000" w:rsidR="00000000" w:rsidRPr="00000000">
        <w:rPr>
          <w:b w:val="1"/>
          <w:sz w:val="19"/>
          <w:szCs w:val="19"/>
        </w:rPr>
        <w:drawing>
          <wp:inline distB="114300" distT="114300" distL="114300" distR="114300">
            <wp:extent cx="5943600" cy="24638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jc w:val="both"/>
        <w:rPr>
          <w:b w:val="1"/>
          <w:sz w:val="19"/>
          <w:szCs w:val="19"/>
        </w:rPr>
      </w:pPr>
      <w:r w:rsidDel="00000000" w:rsidR="00000000" w:rsidRPr="00000000">
        <w:rPr>
          <w:b w:val="1"/>
          <w:sz w:val="19"/>
          <w:szCs w:val="19"/>
          <w:rtl w:val="0"/>
        </w:rPr>
        <w:t xml:space="preserve">Figure 4 : Cyclocurcumin model 2 ( deepblue ) on the binding site .</w:t>
      </w:r>
    </w:p>
    <w:p w:rsidR="00000000" w:rsidDel="00000000" w:rsidP="00000000" w:rsidRDefault="00000000" w:rsidRPr="00000000" w14:paraId="0000001E">
      <w:pPr>
        <w:spacing w:after="240" w:before="240" w:lineRule="auto"/>
        <w:jc w:val="both"/>
        <w:rPr>
          <w:b w:val="1"/>
          <w:sz w:val="19"/>
          <w:szCs w:val="19"/>
        </w:rPr>
      </w:pPr>
      <w:r w:rsidDel="00000000" w:rsidR="00000000" w:rsidRPr="00000000">
        <w:rPr>
          <w:rtl w:val="0"/>
        </w:rPr>
      </w:r>
    </w:p>
    <w:p w:rsidR="00000000" w:rsidDel="00000000" w:rsidP="00000000" w:rsidRDefault="00000000" w:rsidRPr="00000000" w14:paraId="0000001F">
      <w:pPr>
        <w:spacing w:after="240" w:before="240" w:lineRule="auto"/>
        <w:jc w:val="both"/>
        <w:rPr>
          <w:b w:val="1"/>
          <w:sz w:val="19"/>
          <w:szCs w:val="19"/>
        </w:rPr>
      </w:pPr>
      <w:r w:rsidDel="00000000" w:rsidR="00000000" w:rsidRPr="00000000">
        <w:rPr>
          <w:rtl w:val="0"/>
        </w:rPr>
      </w:r>
    </w:p>
    <w:p w:rsidR="00000000" w:rsidDel="00000000" w:rsidP="00000000" w:rsidRDefault="00000000" w:rsidRPr="00000000" w14:paraId="00000020">
      <w:pPr>
        <w:spacing w:after="240" w:before="240" w:lineRule="auto"/>
        <w:jc w:val="both"/>
        <w:rPr>
          <w:b w:val="1"/>
          <w:sz w:val="19"/>
          <w:szCs w:val="19"/>
        </w:rPr>
      </w:pPr>
      <w:r w:rsidDel="00000000" w:rsidR="00000000" w:rsidRPr="00000000">
        <w:rPr>
          <w:rtl w:val="0"/>
        </w:rPr>
      </w:r>
    </w:p>
    <w:p w:rsidR="00000000" w:rsidDel="00000000" w:rsidP="00000000" w:rsidRDefault="00000000" w:rsidRPr="00000000" w14:paraId="00000021">
      <w:pPr>
        <w:spacing w:after="240" w:before="240" w:lineRule="auto"/>
        <w:jc w:val="both"/>
        <w:rPr>
          <w:b w:val="1"/>
          <w:sz w:val="19"/>
          <w:szCs w:val="19"/>
        </w:rPr>
      </w:pPr>
      <w:r w:rsidDel="00000000" w:rsidR="00000000" w:rsidRPr="00000000">
        <w:rPr>
          <w:b w:val="1"/>
          <w:sz w:val="19"/>
          <w:szCs w:val="19"/>
        </w:rPr>
        <w:drawing>
          <wp:inline distB="114300" distT="114300" distL="114300" distR="114300">
            <wp:extent cx="5943600" cy="26162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jc w:val="both"/>
        <w:rPr>
          <w:b w:val="1"/>
          <w:sz w:val="19"/>
          <w:szCs w:val="19"/>
        </w:rPr>
      </w:pPr>
      <w:r w:rsidDel="00000000" w:rsidR="00000000" w:rsidRPr="00000000">
        <w:rPr>
          <w:b w:val="1"/>
          <w:sz w:val="19"/>
          <w:szCs w:val="19"/>
          <w:rtl w:val="0"/>
        </w:rPr>
        <w:t xml:space="preserve">Figure 5 : Cyclocurcumin model 3 (deepblue) on the binding site .</w:t>
      </w:r>
    </w:p>
    <w:p w:rsidR="00000000" w:rsidDel="00000000" w:rsidP="00000000" w:rsidRDefault="00000000" w:rsidRPr="00000000" w14:paraId="00000023">
      <w:pPr>
        <w:spacing w:after="240" w:before="240" w:lineRule="auto"/>
        <w:jc w:val="both"/>
        <w:rPr>
          <w:b w:val="1"/>
          <w:sz w:val="19"/>
          <w:szCs w:val="19"/>
        </w:rPr>
      </w:pPr>
      <w:r w:rsidDel="00000000" w:rsidR="00000000" w:rsidRPr="00000000">
        <w:rPr>
          <w:rtl w:val="0"/>
        </w:rPr>
      </w:r>
    </w:p>
    <w:p w:rsidR="00000000" w:rsidDel="00000000" w:rsidP="00000000" w:rsidRDefault="00000000" w:rsidRPr="00000000" w14:paraId="00000024">
      <w:pPr>
        <w:spacing w:after="240" w:before="240" w:lineRule="auto"/>
        <w:jc w:val="both"/>
        <w:rPr>
          <w:b w:val="1"/>
          <w:sz w:val="19"/>
          <w:szCs w:val="19"/>
        </w:rPr>
      </w:pPr>
      <w:r w:rsidDel="00000000" w:rsidR="00000000" w:rsidRPr="00000000">
        <w:rPr>
          <w:rtl w:val="0"/>
        </w:rPr>
      </w:r>
    </w:p>
    <w:p w:rsidR="00000000" w:rsidDel="00000000" w:rsidP="00000000" w:rsidRDefault="00000000" w:rsidRPr="00000000" w14:paraId="00000025">
      <w:pPr>
        <w:spacing w:after="240" w:before="240" w:lineRule="auto"/>
        <w:jc w:val="both"/>
        <w:rPr>
          <w:b w:val="1"/>
          <w:sz w:val="19"/>
          <w:szCs w:val="19"/>
        </w:rPr>
      </w:pPr>
      <w:r w:rsidDel="00000000" w:rsidR="00000000" w:rsidRPr="00000000">
        <w:rPr>
          <w:b w:val="1"/>
          <w:sz w:val="19"/>
          <w:szCs w:val="19"/>
        </w:rPr>
        <w:drawing>
          <wp:inline distB="114300" distT="114300" distL="114300" distR="114300">
            <wp:extent cx="5943600" cy="25527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jc w:val="both"/>
        <w:rPr>
          <w:b w:val="1"/>
          <w:sz w:val="19"/>
          <w:szCs w:val="19"/>
        </w:rPr>
      </w:pPr>
      <w:r w:rsidDel="00000000" w:rsidR="00000000" w:rsidRPr="00000000">
        <w:rPr>
          <w:b w:val="1"/>
          <w:sz w:val="19"/>
          <w:szCs w:val="19"/>
          <w:rtl w:val="0"/>
        </w:rPr>
        <w:t xml:space="preserve"> Figure 6: Demethoxycurcumin model 1( deepblue ) on the binding site. </w:t>
      </w:r>
    </w:p>
    <w:p w:rsidR="00000000" w:rsidDel="00000000" w:rsidP="00000000" w:rsidRDefault="00000000" w:rsidRPr="00000000" w14:paraId="00000027">
      <w:pPr>
        <w:spacing w:after="240" w:before="240" w:lineRule="auto"/>
        <w:jc w:val="both"/>
        <w:rPr>
          <w:b w:val="1"/>
          <w:sz w:val="19"/>
          <w:szCs w:val="19"/>
        </w:rPr>
      </w:pPr>
      <w:r w:rsidDel="00000000" w:rsidR="00000000" w:rsidRPr="00000000">
        <w:rPr>
          <w:rtl w:val="0"/>
        </w:rPr>
      </w:r>
    </w:p>
    <w:p w:rsidR="00000000" w:rsidDel="00000000" w:rsidP="00000000" w:rsidRDefault="00000000" w:rsidRPr="00000000" w14:paraId="00000028">
      <w:pPr>
        <w:spacing w:after="240" w:before="240" w:lineRule="auto"/>
        <w:jc w:val="both"/>
        <w:rPr>
          <w:b w:val="1"/>
          <w:sz w:val="19"/>
          <w:szCs w:val="19"/>
        </w:rPr>
      </w:pPr>
      <w:r w:rsidDel="00000000" w:rsidR="00000000" w:rsidRPr="00000000">
        <w:rPr>
          <w:rtl w:val="0"/>
        </w:rPr>
      </w:r>
    </w:p>
    <w:p w:rsidR="00000000" w:rsidDel="00000000" w:rsidP="00000000" w:rsidRDefault="00000000" w:rsidRPr="00000000" w14:paraId="00000029">
      <w:pPr>
        <w:spacing w:after="240" w:before="240" w:lineRule="auto"/>
        <w:jc w:val="both"/>
        <w:rPr>
          <w:b w:val="1"/>
          <w:sz w:val="19"/>
          <w:szCs w:val="19"/>
        </w:rPr>
      </w:pPr>
      <w:r w:rsidDel="00000000" w:rsidR="00000000" w:rsidRPr="00000000">
        <w:rPr>
          <w:b w:val="1"/>
          <w:sz w:val="19"/>
          <w:szCs w:val="19"/>
        </w:rPr>
        <w:drawing>
          <wp:inline distB="114300" distT="114300" distL="114300" distR="114300">
            <wp:extent cx="5943600" cy="25400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jc w:val="both"/>
        <w:rPr>
          <w:b w:val="1"/>
          <w:sz w:val="19"/>
          <w:szCs w:val="19"/>
        </w:rPr>
      </w:pPr>
      <w:r w:rsidDel="00000000" w:rsidR="00000000" w:rsidRPr="00000000">
        <w:rPr>
          <w:b w:val="1"/>
          <w:sz w:val="19"/>
          <w:szCs w:val="19"/>
          <w:rtl w:val="0"/>
        </w:rPr>
        <w:t xml:space="preserve">Figure 7 : Tetrahydrocurcumin model 1 (deepblue) on the binding site .</w:t>
      </w:r>
    </w:p>
    <w:p w:rsidR="00000000" w:rsidDel="00000000" w:rsidP="00000000" w:rsidRDefault="00000000" w:rsidRPr="00000000" w14:paraId="0000002B">
      <w:pPr>
        <w:spacing w:after="240" w:before="240" w:lineRule="auto"/>
        <w:jc w:val="both"/>
        <w:rPr>
          <w:b w:val="1"/>
          <w:sz w:val="19"/>
          <w:szCs w:val="19"/>
        </w:rPr>
      </w:pPr>
      <w:r w:rsidDel="00000000" w:rsidR="00000000" w:rsidRPr="00000000">
        <w:rPr>
          <w:b w:val="1"/>
          <w:sz w:val="19"/>
          <w:szCs w:val="19"/>
          <w:rtl w:val="0"/>
        </w:rPr>
        <w:t xml:space="preserve">  </w:t>
      </w:r>
    </w:p>
    <w:p w:rsidR="00000000" w:rsidDel="00000000" w:rsidP="00000000" w:rsidRDefault="00000000" w:rsidRPr="00000000" w14:paraId="0000002C">
      <w:pPr>
        <w:pStyle w:val="Heading2"/>
        <w:spacing w:after="240" w:before="240" w:lineRule="auto"/>
        <w:jc w:val="both"/>
        <w:rPr>
          <w:sz w:val="34"/>
          <w:szCs w:val="34"/>
        </w:rPr>
      </w:pPr>
      <w:bookmarkStart w:colFirst="0" w:colLast="0" w:name="_w7iv5hezfcsu" w:id="10"/>
      <w:bookmarkEnd w:id="10"/>
      <w:r w:rsidDel="00000000" w:rsidR="00000000" w:rsidRPr="00000000">
        <w:rPr>
          <w:sz w:val="34"/>
          <w:szCs w:val="34"/>
          <w:rtl w:val="0"/>
        </w:rPr>
        <w:t xml:space="preserve">Conculations:</w:t>
      </w:r>
    </w:p>
    <w:p w:rsidR="00000000" w:rsidDel="00000000" w:rsidP="00000000" w:rsidRDefault="00000000" w:rsidRPr="00000000" w14:paraId="0000002D">
      <w:pPr>
        <w:spacing w:after="240" w:before="240" w:lineRule="auto"/>
        <w:jc w:val="both"/>
        <w:rPr>
          <w:sz w:val="25"/>
          <w:szCs w:val="25"/>
        </w:rPr>
      </w:pPr>
      <w:r w:rsidDel="00000000" w:rsidR="00000000" w:rsidRPr="00000000">
        <w:rPr>
          <w:sz w:val="25"/>
          <w:szCs w:val="25"/>
          <w:rtl w:val="0"/>
        </w:rPr>
        <w:t xml:space="preserve">This study identified several turmeric-derived compounds, particularly cyclocurcumin and curcumol, as having strong binding affinity for MetAP2, indicative of good pharmacological candidates against MetAP2-related diseases. This study not only provided potential lead compounds for drug development but also established a reusable pipeline for protein-ligand docking analysis that could be applied in future therapeutic research.</w:t>
      </w:r>
    </w:p>
    <w:p w:rsidR="00000000" w:rsidDel="00000000" w:rsidP="00000000" w:rsidRDefault="00000000" w:rsidRPr="00000000" w14:paraId="0000002E">
      <w:pPr>
        <w:spacing w:after="240" w:before="240" w:lineRule="auto"/>
        <w:jc w:val="both"/>
        <w:rPr>
          <w:b w:val="1"/>
          <w:sz w:val="19"/>
          <w:szCs w:val="19"/>
        </w:rPr>
      </w:pPr>
      <w:r w:rsidDel="00000000" w:rsidR="00000000" w:rsidRPr="00000000">
        <w:rPr>
          <w:b w:val="1"/>
          <w:sz w:val="19"/>
          <w:szCs w:val="19"/>
          <w:rtl w:val="0"/>
        </w:rPr>
        <w:t xml:space="preserve">________________________________________</w:t>
      </w:r>
    </w:p>
    <w:p w:rsidR="00000000" w:rsidDel="00000000" w:rsidP="00000000" w:rsidRDefault="00000000" w:rsidRPr="00000000" w14:paraId="0000002F">
      <w:pPr>
        <w:pStyle w:val="Heading2"/>
        <w:spacing w:after="240" w:before="240" w:lineRule="auto"/>
        <w:jc w:val="both"/>
        <w:rPr/>
      </w:pPr>
      <w:bookmarkStart w:colFirst="0" w:colLast="0" w:name="_nrkpuegk8sfq" w:id="11"/>
      <w:bookmarkEnd w:id="11"/>
      <w:r w:rsidDel="00000000" w:rsidR="00000000" w:rsidRPr="00000000">
        <w:rPr>
          <w:rtl w:val="0"/>
        </w:rPr>
        <w:t xml:space="preserve">References :</w:t>
      </w:r>
    </w:p>
    <w:p w:rsidR="00000000" w:rsidDel="00000000" w:rsidP="00000000" w:rsidRDefault="00000000" w:rsidRPr="00000000" w14:paraId="00000030">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 </w:t>
      </w:r>
      <w:r w:rsidDel="00000000" w:rsidR="00000000" w:rsidRPr="00000000">
        <w:rPr>
          <w:color w:val="222222"/>
          <w:sz w:val="24"/>
          <w:szCs w:val="24"/>
          <w:highlight w:val="white"/>
          <w:rtl w:val="0"/>
        </w:rPr>
        <w:t xml:space="preserve">Asafo-Agyei KO, Samant H. Hepatocellular Carcinoma. [Updated 2023 Jun 12]. In: StatPearls [Internet]. Treasure Island (FL): StatPearls Publishing; 2024 Jan-. Available from: </w:t>
      </w:r>
      <w:hyperlink r:id="rId14">
        <w:r w:rsidDel="00000000" w:rsidR="00000000" w:rsidRPr="00000000">
          <w:rPr>
            <w:color w:val="1155cc"/>
            <w:sz w:val="24"/>
            <w:szCs w:val="24"/>
            <w:highlight w:val="white"/>
            <w:u w:val="single"/>
            <w:rtl w:val="0"/>
          </w:rPr>
          <w:t xml:space="preserve">https://www.ncbi.nlm.nih.gov/books/NBK559177/</w:t>
        </w:r>
      </w:hyperlink>
      <w:r w:rsidDel="00000000" w:rsidR="00000000" w:rsidRPr="00000000">
        <w:rPr>
          <w:rtl w:val="0"/>
        </w:rPr>
      </w:r>
    </w:p>
    <w:p w:rsidR="00000000" w:rsidDel="00000000" w:rsidP="00000000" w:rsidRDefault="00000000" w:rsidRPr="00000000" w14:paraId="00000031">
      <w:pPr>
        <w:spacing w:after="240" w:before="240" w:lineRule="auto"/>
        <w:ind w:left="0" w:firstLine="0"/>
        <w:jc w:val="both"/>
        <w:rPr>
          <w:sz w:val="24"/>
          <w:szCs w:val="24"/>
        </w:rPr>
      </w:pPr>
      <w:r w:rsidDel="00000000" w:rsidR="00000000" w:rsidRPr="00000000">
        <w:rPr>
          <w:sz w:val="24"/>
          <w:szCs w:val="24"/>
          <w:rtl w:val="0"/>
        </w:rPr>
        <w:t xml:space="preserve">2- </w:t>
      </w:r>
      <w:r w:rsidDel="00000000" w:rsidR="00000000" w:rsidRPr="00000000">
        <w:rPr>
          <w:sz w:val="24"/>
          <w:szCs w:val="24"/>
          <w:rtl w:val="0"/>
        </w:rPr>
        <w:t xml:space="preserve">Dallakyan, S., &amp; Olson, A. J. (2015). Small-molecule library screening by docking with PyRx. </w:t>
      </w:r>
      <w:r w:rsidDel="00000000" w:rsidR="00000000" w:rsidRPr="00000000">
        <w:rPr>
          <w:i w:val="1"/>
          <w:sz w:val="24"/>
          <w:szCs w:val="24"/>
          <w:rtl w:val="0"/>
        </w:rPr>
        <w:t xml:space="preserve">Chemical Biology</w:t>
      </w:r>
      <w:r w:rsidDel="00000000" w:rsidR="00000000" w:rsidRPr="00000000">
        <w:rPr>
          <w:sz w:val="24"/>
          <w:szCs w:val="24"/>
          <w:rtl w:val="0"/>
        </w:rPr>
        <w:t xml:space="preserve">, </w:t>
      </w:r>
      <w:r w:rsidDel="00000000" w:rsidR="00000000" w:rsidRPr="00000000">
        <w:rPr>
          <w:i w:val="1"/>
          <w:sz w:val="24"/>
          <w:szCs w:val="24"/>
          <w:rtl w:val="0"/>
        </w:rPr>
        <w:t xml:space="preserve">1263</w:t>
      </w:r>
      <w:r w:rsidDel="00000000" w:rsidR="00000000" w:rsidRPr="00000000">
        <w:rPr>
          <w:sz w:val="24"/>
          <w:szCs w:val="24"/>
          <w:rtl w:val="0"/>
        </w:rPr>
        <w:t xml:space="preserve">, 243–250. https://doi.org/10.1007/978-1-4939-2269-7_19</w:t>
      </w:r>
    </w:p>
    <w:p w:rsidR="00000000" w:rsidDel="00000000" w:rsidP="00000000" w:rsidRDefault="00000000" w:rsidRPr="00000000" w14:paraId="00000032">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3- Jiang, Y., Hui, D., Pan, Z. </w:t>
      </w:r>
      <w:r w:rsidDel="00000000" w:rsidR="00000000" w:rsidRPr="00000000">
        <w:rPr>
          <w:i w:val="1"/>
          <w:color w:val="222222"/>
          <w:sz w:val="24"/>
          <w:szCs w:val="24"/>
          <w:highlight w:val="white"/>
          <w:rtl w:val="0"/>
        </w:rPr>
        <w:t xml:space="preserve">et al.</w:t>
      </w:r>
      <w:r w:rsidDel="00000000" w:rsidR="00000000" w:rsidRPr="00000000">
        <w:rPr>
          <w:color w:val="222222"/>
          <w:sz w:val="24"/>
          <w:szCs w:val="24"/>
          <w:highlight w:val="white"/>
          <w:rtl w:val="0"/>
        </w:rPr>
        <w:t xml:space="preserve"> Curcumin promotes ferroptosis in hepatocellular carcinoma via upregulation of ACSL4. </w:t>
      </w:r>
      <w:r w:rsidDel="00000000" w:rsidR="00000000" w:rsidRPr="00000000">
        <w:rPr>
          <w:i w:val="1"/>
          <w:color w:val="222222"/>
          <w:sz w:val="24"/>
          <w:szCs w:val="24"/>
          <w:highlight w:val="white"/>
          <w:rtl w:val="0"/>
        </w:rPr>
        <w:t xml:space="preserve">J Cancer Res Clin Oncol</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150</w:t>
      </w:r>
      <w:r w:rsidDel="00000000" w:rsidR="00000000" w:rsidRPr="00000000">
        <w:rPr>
          <w:color w:val="222222"/>
          <w:sz w:val="24"/>
          <w:szCs w:val="24"/>
          <w:highlight w:val="white"/>
          <w:rtl w:val="0"/>
        </w:rPr>
        <w:t xml:space="preserve">, 429 (2024). </w:t>
      </w:r>
      <w:hyperlink r:id="rId15">
        <w:r w:rsidDel="00000000" w:rsidR="00000000" w:rsidRPr="00000000">
          <w:rPr>
            <w:color w:val="1155cc"/>
            <w:sz w:val="24"/>
            <w:szCs w:val="24"/>
            <w:highlight w:val="white"/>
            <w:u w:val="single"/>
            <w:rtl w:val="0"/>
          </w:rPr>
          <w:t xml:space="preserve">https://doi.org/10.1007/s00432-024-05878-0</w:t>
        </w:r>
      </w:hyperlink>
      <w:r w:rsidDel="00000000" w:rsidR="00000000" w:rsidRPr="00000000">
        <w:rPr>
          <w:rtl w:val="0"/>
        </w:rPr>
      </w:r>
    </w:p>
    <w:p w:rsidR="00000000" w:rsidDel="00000000" w:rsidP="00000000" w:rsidRDefault="00000000" w:rsidRPr="00000000" w14:paraId="00000033">
      <w:pPr>
        <w:spacing w:after="240" w:before="240" w:lineRule="auto"/>
        <w:ind w:left="0" w:firstLine="0"/>
        <w:jc w:val="both"/>
        <w:rPr>
          <w:sz w:val="24"/>
          <w:szCs w:val="24"/>
        </w:rPr>
      </w:pPr>
      <w:r w:rsidDel="00000000" w:rsidR="00000000" w:rsidRPr="00000000">
        <w:rPr>
          <w:sz w:val="24"/>
          <w:szCs w:val="24"/>
          <w:rtl w:val="0"/>
        </w:rPr>
        <w:t xml:space="preserve">4- </w:t>
      </w:r>
      <w:r w:rsidDel="00000000" w:rsidR="00000000" w:rsidRPr="00000000">
        <w:rPr>
          <w:sz w:val="24"/>
          <w:szCs w:val="24"/>
          <w:rtl w:val="0"/>
        </w:rPr>
        <w:t xml:space="preserve">Kim, S., Chen, J., Cheng, T., Gindulyte, A., He, J., He, S., ... &amp; Bolton, E. E. (2016). PubChem Substance and Compound databases. </w:t>
      </w:r>
      <w:r w:rsidDel="00000000" w:rsidR="00000000" w:rsidRPr="00000000">
        <w:rPr>
          <w:i w:val="1"/>
          <w:sz w:val="24"/>
          <w:szCs w:val="24"/>
          <w:rtl w:val="0"/>
        </w:rPr>
        <w:t xml:space="preserve">Nucleic Acids Research</w:t>
      </w:r>
      <w:r w:rsidDel="00000000" w:rsidR="00000000" w:rsidRPr="00000000">
        <w:rPr>
          <w:sz w:val="24"/>
          <w:szCs w:val="24"/>
          <w:rtl w:val="0"/>
        </w:rPr>
        <w:t xml:space="preserve">, </w:t>
      </w:r>
      <w:r w:rsidDel="00000000" w:rsidR="00000000" w:rsidRPr="00000000">
        <w:rPr>
          <w:i w:val="1"/>
          <w:sz w:val="24"/>
          <w:szCs w:val="24"/>
          <w:rtl w:val="0"/>
        </w:rPr>
        <w:t xml:space="preserve">44</w:t>
      </w:r>
      <w:r w:rsidDel="00000000" w:rsidR="00000000" w:rsidRPr="00000000">
        <w:rPr>
          <w:sz w:val="24"/>
          <w:szCs w:val="24"/>
          <w:rtl w:val="0"/>
        </w:rPr>
        <w:t xml:space="preserve">(D1), D1202–D1213. https://doi.org/10.1093/nar/gkv951</w:t>
      </w:r>
    </w:p>
    <w:p w:rsidR="00000000" w:rsidDel="00000000" w:rsidP="00000000" w:rsidRDefault="00000000" w:rsidRPr="00000000" w14:paraId="00000034">
      <w:pPr>
        <w:spacing w:after="240" w:before="240" w:lineRule="auto"/>
        <w:jc w:val="both"/>
        <w:rPr>
          <w:color w:val="575757"/>
          <w:sz w:val="24"/>
          <w:szCs w:val="24"/>
          <w:highlight w:val="white"/>
        </w:rPr>
      </w:pPr>
      <w:r w:rsidDel="00000000" w:rsidR="00000000" w:rsidRPr="00000000">
        <w:rPr>
          <w:color w:val="575757"/>
          <w:sz w:val="24"/>
          <w:szCs w:val="24"/>
          <w:highlight w:val="white"/>
          <w:rtl w:val="0"/>
        </w:rPr>
        <w:t xml:space="preserve">5- Li W, Zhou Y, Yang J, Li H, Zhang H and Zheng P: Curcumin induces apoptotic cell death and protective autophagy in human gastric cancer cells. Oncol Rep 37: 3459-3466, 2017.</w:t>
      </w:r>
    </w:p>
    <w:p w:rsidR="00000000" w:rsidDel="00000000" w:rsidP="00000000" w:rsidRDefault="00000000" w:rsidRPr="00000000" w14:paraId="00000035">
      <w:pP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6- Li, Y., Sun, W., Han, N. </w:t>
      </w:r>
      <w:r w:rsidDel="00000000" w:rsidR="00000000" w:rsidRPr="00000000">
        <w:rPr>
          <w:rFonts w:ascii="Roboto" w:cs="Roboto" w:eastAsia="Roboto" w:hAnsi="Roboto"/>
          <w:i w:val="1"/>
          <w:color w:val="333333"/>
          <w:sz w:val="24"/>
          <w:szCs w:val="24"/>
          <w:highlight w:val="white"/>
          <w:rtl w:val="0"/>
        </w:rPr>
        <w:t xml:space="preserve">et al.</w:t>
      </w:r>
      <w:r w:rsidDel="00000000" w:rsidR="00000000" w:rsidRPr="00000000">
        <w:rPr>
          <w:rFonts w:ascii="Roboto" w:cs="Roboto" w:eastAsia="Roboto" w:hAnsi="Roboto"/>
          <w:color w:val="333333"/>
          <w:sz w:val="24"/>
          <w:szCs w:val="24"/>
          <w:highlight w:val="white"/>
          <w:rtl w:val="0"/>
        </w:rPr>
        <w:t xml:space="preserve"> RETRACTED ARTICLE: Curcumin inhibits proliferation, migration, invasion and promotes apoptosis of retinoblastoma cell lines through modulation of miR-99a and JAK/STAT pathway. </w:t>
      </w:r>
      <w:r w:rsidDel="00000000" w:rsidR="00000000" w:rsidRPr="00000000">
        <w:rPr>
          <w:rFonts w:ascii="Roboto" w:cs="Roboto" w:eastAsia="Roboto" w:hAnsi="Roboto"/>
          <w:i w:val="1"/>
          <w:color w:val="333333"/>
          <w:sz w:val="24"/>
          <w:szCs w:val="24"/>
          <w:highlight w:val="white"/>
          <w:rtl w:val="0"/>
        </w:rPr>
        <w:t xml:space="preserve">BMC Cancer</w:t>
      </w:r>
      <w:r w:rsidDel="00000000" w:rsidR="00000000" w:rsidRPr="00000000">
        <w:rPr>
          <w:rFonts w:ascii="Roboto" w:cs="Roboto" w:eastAsia="Roboto" w:hAnsi="Roboto"/>
          <w:color w:val="333333"/>
          <w:sz w:val="24"/>
          <w:szCs w:val="24"/>
          <w:highlight w:val="white"/>
          <w:rtl w:val="0"/>
        </w:rPr>
        <w:t xml:space="preserve"> 18, 1230 (2018). </w:t>
      </w:r>
      <w:hyperlink r:id="rId16">
        <w:r w:rsidDel="00000000" w:rsidR="00000000" w:rsidRPr="00000000">
          <w:rPr>
            <w:rFonts w:ascii="Roboto" w:cs="Roboto" w:eastAsia="Roboto" w:hAnsi="Roboto"/>
            <w:color w:val="1155cc"/>
            <w:sz w:val="24"/>
            <w:szCs w:val="24"/>
            <w:highlight w:val="white"/>
            <w:u w:val="single"/>
            <w:rtl w:val="0"/>
          </w:rPr>
          <w:t xml:space="preserve">https://doi.org/10.1186/s12885-018-5130-y</w:t>
        </w:r>
      </w:hyperlink>
      <w:r w:rsidDel="00000000" w:rsidR="00000000" w:rsidRPr="00000000">
        <w:rPr>
          <w:rtl w:val="0"/>
        </w:rPr>
      </w:r>
    </w:p>
    <w:p w:rsidR="00000000" w:rsidDel="00000000" w:rsidP="00000000" w:rsidRDefault="00000000" w:rsidRPr="00000000" w14:paraId="00000036">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7- </w:t>
      </w:r>
      <w:r w:rsidDel="00000000" w:rsidR="00000000" w:rsidRPr="00000000">
        <w:rPr>
          <w:color w:val="222222"/>
          <w:sz w:val="24"/>
          <w:szCs w:val="24"/>
          <w:highlight w:val="white"/>
          <w:rtl w:val="0"/>
        </w:rPr>
        <w:t xml:space="preserve">National Cancer Institute. (n.d.). What is liver cancer? </w:t>
      </w:r>
      <w:hyperlink r:id="rId17">
        <w:r w:rsidDel="00000000" w:rsidR="00000000" w:rsidRPr="00000000">
          <w:rPr>
            <w:color w:val="1155cc"/>
            <w:sz w:val="24"/>
            <w:szCs w:val="24"/>
            <w:highlight w:val="white"/>
            <w:u w:val="single"/>
            <w:rtl w:val="0"/>
          </w:rPr>
          <w:t xml:space="preserve">https://www.cancer.gov/types/liver/what-is-liver-cancer</w:t>
        </w:r>
      </w:hyperlink>
      <w:r w:rsidDel="00000000" w:rsidR="00000000" w:rsidRPr="00000000">
        <w:rPr>
          <w:rtl w:val="0"/>
        </w:rPr>
      </w:r>
    </w:p>
    <w:p w:rsidR="00000000" w:rsidDel="00000000" w:rsidP="00000000" w:rsidRDefault="00000000" w:rsidRPr="00000000" w14:paraId="00000037">
      <w:pPr>
        <w:spacing w:after="240" w:before="240" w:lineRule="auto"/>
        <w:ind w:left="0" w:firstLine="0"/>
        <w:jc w:val="both"/>
        <w:rPr>
          <w:sz w:val="24"/>
          <w:szCs w:val="24"/>
        </w:rPr>
      </w:pPr>
      <w:r w:rsidDel="00000000" w:rsidR="00000000" w:rsidRPr="00000000">
        <w:rPr>
          <w:sz w:val="24"/>
          <w:szCs w:val="24"/>
          <w:rtl w:val="0"/>
        </w:rPr>
        <w:t xml:space="preserve">8- </w:t>
      </w:r>
      <w:r w:rsidDel="00000000" w:rsidR="00000000" w:rsidRPr="00000000">
        <w:rPr>
          <w:sz w:val="24"/>
          <w:szCs w:val="24"/>
          <w:rtl w:val="0"/>
        </w:rPr>
        <w:t xml:space="preserve">Schrödinger, LLC. (2015). The PyMOL Molecular Graphics System, Version 1.8. https://pymol.org/2/</w:t>
      </w:r>
    </w:p>
    <w:p w:rsidR="00000000" w:rsidDel="00000000" w:rsidP="00000000" w:rsidRDefault="00000000" w:rsidRPr="00000000" w14:paraId="00000038">
      <w:pPr>
        <w:spacing w:after="240" w:before="240" w:lineRule="auto"/>
        <w:jc w:val="both"/>
        <w:rPr>
          <w:sz w:val="24"/>
          <w:szCs w:val="24"/>
        </w:rPr>
      </w:pPr>
      <w:r w:rsidDel="00000000" w:rsidR="00000000" w:rsidRPr="00000000">
        <w:rPr>
          <w:sz w:val="24"/>
          <w:szCs w:val="24"/>
          <w:rtl w:val="0"/>
        </w:rPr>
        <w:t xml:space="preserve">9- Sheppard, G. S., Wang, J., Kawai, M., BaMaung, N. Y., Craig, R. A., Erickson, S. A., Lynch, L., Patel, J., Yang, F., Searle, X. B., Lou, P., Park, C., Kim, K. H., Henkin, J., Lesniewski, R.(2004). 3-Amino-2-hydroxyamides and related compounds as inhibitors of methionine aminopeptidase-2. Bioorganic &amp; Medicinal Chemistry Letters, 14(4), 865-868. doi:10.1016/j.bmcl.2003.12.031.</w:t>
      </w:r>
    </w:p>
    <w:p w:rsidR="00000000" w:rsidDel="00000000" w:rsidP="00000000" w:rsidRDefault="00000000" w:rsidRPr="00000000" w14:paraId="00000039">
      <w:pPr>
        <w:spacing w:after="240" w:before="240" w:lineRule="auto"/>
        <w:jc w:val="both"/>
        <w:rPr>
          <w:rFonts w:ascii="Roboto" w:cs="Roboto" w:eastAsia="Roboto" w:hAnsi="Roboto"/>
          <w:color w:val="333333"/>
          <w:sz w:val="24"/>
          <w:szCs w:val="24"/>
          <w:highlight w:val="white"/>
        </w:rPr>
      </w:pPr>
      <w:r w:rsidDel="00000000" w:rsidR="00000000" w:rsidRPr="00000000">
        <w:rPr>
          <w:sz w:val="24"/>
          <w:szCs w:val="24"/>
          <w:rtl w:val="0"/>
        </w:rPr>
        <w:t xml:space="preserve">10- Tian, W., Chen, C., Lei, X., Zhao, J., &amp; Liang, J. (2018). CASTp 3.0: computed atlas of surface topography of proteins. </w:t>
      </w:r>
      <w:r w:rsidDel="00000000" w:rsidR="00000000" w:rsidRPr="00000000">
        <w:rPr>
          <w:i w:val="1"/>
          <w:sz w:val="24"/>
          <w:szCs w:val="24"/>
          <w:rtl w:val="0"/>
        </w:rPr>
        <w:t xml:space="preserve">Nucleic Acids Research</w:t>
      </w:r>
      <w:r w:rsidDel="00000000" w:rsidR="00000000" w:rsidRPr="00000000">
        <w:rPr>
          <w:sz w:val="24"/>
          <w:szCs w:val="24"/>
          <w:rtl w:val="0"/>
        </w:rPr>
        <w:t xml:space="preserve">, </w:t>
      </w:r>
      <w:r w:rsidDel="00000000" w:rsidR="00000000" w:rsidRPr="00000000">
        <w:rPr>
          <w:i w:val="1"/>
          <w:sz w:val="24"/>
          <w:szCs w:val="24"/>
          <w:rtl w:val="0"/>
        </w:rPr>
        <w:t xml:space="preserve">46</w:t>
      </w:r>
      <w:r w:rsidDel="00000000" w:rsidR="00000000" w:rsidRPr="00000000">
        <w:rPr>
          <w:sz w:val="24"/>
          <w:szCs w:val="24"/>
          <w:rtl w:val="0"/>
        </w:rPr>
        <w:t xml:space="preserve">(W1), W363-W367. </w:t>
      </w:r>
      <w:hyperlink r:id="rId18">
        <w:r w:rsidDel="00000000" w:rsidR="00000000" w:rsidRPr="00000000">
          <w:rPr>
            <w:color w:val="1155cc"/>
            <w:sz w:val="24"/>
            <w:szCs w:val="24"/>
            <w:u w:val="single"/>
            <w:rtl w:val="0"/>
          </w:rPr>
          <w:t xml:space="preserve">https://doi.org/10.1093/nar/gky473</w:t>
        </w:r>
      </w:hyperlink>
      <w:r w:rsidDel="00000000" w:rsidR="00000000" w:rsidRPr="00000000">
        <w:rPr>
          <w:rtl w:val="0"/>
        </w:rPr>
      </w:r>
    </w:p>
    <w:p w:rsidR="00000000" w:rsidDel="00000000" w:rsidP="00000000" w:rsidRDefault="00000000" w:rsidRPr="00000000" w14:paraId="0000003A">
      <w:pPr>
        <w:spacing w:after="240" w:before="240" w:lineRule="auto"/>
        <w:jc w:val="both"/>
        <w:rPr>
          <w:color w:val="333333"/>
          <w:sz w:val="24"/>
          <w:szCs w:val="24"/>
          <w:highlight w:val="white"/>
        </w:rPr>
      </w:pPr>
      <w:r w:rsidDel="00000000" w:rsidR="00000000" w:rsidRPr="00000000">
        <w:rPr>
          <w:color w:val="333333"/>
          <w:sz w:val="24"/>
          <w:szCs w:val="24"/>
          <w:highlight w:val="white"/>
          <w:rtl w:val="0"/>
        </w:rPr>
        <w:t xml:space="preserve">11- </w:t>
      </w:r>
      <w:r w:rsidDel="00000000" w:rsidR="00000000" w:rsidRPr="00000000">
        <w:rPr>
          <w:color w:val="333333"/>
          <w:sz w:val="24"/>
          <w:szCs w:val="24"/>
          <w:highlight w:val="white"/>
          <w:rtl w:val="0"/>
        </w:rPr>
        <w:t xml:space="preserve">Wilken, R., Veena, M.S., Wang, M.B. </w:t>
      </w:r>
      <w:r w:rsidDel="00000000" w:rsidR="00000000" w:rsidRPr="00000000">
        <w:rPr>
          <w:i w:val="1"/>
          <w:color w:val="333333"/>
          <w:sz w:val="24"/>
          <w:szCs w:val="24"/>
          <w:highlight w:val="white"/>
          <w:rtl w:val="0"/>
        </w:rPr>
        <w:t xml:space="preserve">et al.</w:t>
      </w:r>
      <w:r w:rsidDel="00000000" w:rsidR="00000000" w:rsidRPr="00000000">
        <w:rPr>
          <w:color w:val="333333"/>
          <w:sz w:val="24"/>
          <w:szCs w:val="24"/>
          <w:highlight w:val="white"/>
          <w:rtl w:val="0"/>
        </w:rPr>
        <w:t xml:space="preserve"> Curcumin: A review of anti-cancer properties and therapeutic activity in head and neck squamous cell carcinoma. </w:t>
      </w:r>
      <w:r w:rsidDel="00000000" w:rsidR="00000000" w:rsidRPr="00000000">
        <w:rPr>
          <w:i w:val="1"/>
          <w:color w:val="333333"/>
          <w:sz w:val="24"/>
          <w:szCs w:val="24"/>
          <w:highlight w:val="white"/>
          <w:rtl w:val="0"/>
        </w:rPr>
        <w:t xml:space="preserve">Mol Cancer</w:t>
      </w:r>
      <w:r w:rsidDel="00000000" w:rsidR="00000000" w:rsidRPr="00000000">
        <w:rPr>
          <w:color w:val="333333"/>
          <w:sz w:val="24"/>
          <w:szCs w:val="24"/>
          <w:highlight w:val="white"/>
          <w:rtl w:val="0"/>
        </w:rPr>
        <w:t xml:space="preserve"> 10, 12 (2011). </w:t>
      </w:r>
      <w:hyperlink r:id="rId19">
        <w:r w:rsidDel="00000000" w:rsidR="00000000" w:rsidRPr="00000000">
          <w:rPr>
            <w:color w:val="1155cc"/>
            <w:sz w:val="24"/>
            <w:szCs w:val="24"/>
            <w:highlight w:val="white"/>
            <w:u w:val="single"/>
            <w:rtl w:val="0"/>
          </w:rPr>
          <w:t xml:space="preserve">https://doi.org/10.1186/1476-4598-10-12</w:t>
        </w:r>
      </w:hyperlink>
      <w:r w:rsidDel="00000000" w:rsidR="00000000" w:rsidRPr="00000000">
        <w:rPr>
          <w:rtl w:val="0"/>
        </w:rPr>
      </w:r>
    </w:p>
    <w:p w:rsidR="00000000" w:rsidDel="00000000" w:rsidP="00000000" w:rsidRDefault="00000000" w:rsidRPr="00000000" w14:paraId="0000003B">
      <w:pPr>
        <w:spacing w:after="240" w:before="240" w:lineRule="auto"/>
        <w:jc w:val="both"/>
        <w:rPr>
          <w:color w:val="212121"/>
          <w:sz w:val="24"/>
          <w:szCs w:val="24"/>
          <w:highlight w:val="white"/>
        </w:rPr>
      </w:pPr>
      <w:r w:rsidDel="00000000" w:rsidR="00000000" w:rsidRPr="00000000">
        <w:rPr>
          <w:color w:val="212121"/>
          <w:sz w:val="24"/>
          <w:szCs w:val="24"/>
          <w:highlight w:val="white"/>
          <w:rtl w:val="0"/>
        </w:rPr>
        <w:t xml:space="preserve">12- Xiao Q, Zhang F, Nacev BA, Liu JO, Pei D. Protein N-terminal processing: substrate specificity of Escherichia coli and human methionine aminopeptidases. Biochemistry. 2010 Jul 6;49(26):5588-99. doi: 10.1021/bi1005464. PMID: 20521764; PMCID: PMC2906754.</w:t>
      </w:r>
    </w:p>
    <w:p w:rsidR="00000000" w:rsidDel="00000000" w:rsidP="00000000" w:rsidRDefault="00000000" w:rsidRPr="00000000" w14:paraId="0000003C">
      <w:pPr>
        <w:spacing w:after="240" w:before="240" w:lineRule="auto"/>
        <w:jc w:val="both"/>
        <w:rPr>
          <w:color w:val="333333"/>
          <w:sz w:val="24"/>
          <w:szCs w:val="24"/>
          <w:highlight w:val="white"/>
        </w:rPr>
      </w:pPr>
      <w:r w:rsidDel="00000000" w:rsidR="00000000" w:rsidRPr="00000000">
        <w:rPr>
          <w:color w:val="333333"/>
          <w:sz w:val="24"/>
          <w:szCs w:val="24"/>
          <w:highlight w:val="white"/>
          <w:rtl w:val="0"/>
        </w:rPr>
        <w:t xml:space="preserve">13- Yoysungnoen P, Wirachwong P, Changtam C, Suksamrarn A, Patumraj S. Anti-cancer and anti-angiogenic effects of curcumin and tetrahydrocurcumin on implanted hepatocellular carcinoma in nude mice. World J Gastroenterol 2008; 14(13): 2003-2009 [PMID: 18395899 DOI: 10.3748/wjg.14.2003].</w:t>
      </w:r>
    </w:p>
    <w:p w:rsidR="00000000" w:rsidDel="00000000" w:rsidP="00000000" w:rsidRDefault="00000000" w:rsidRPr="00000000" w14:paraId="0000003D">
      <w:pPr>
        <w:pStyle w:val="Heading2"/>
        <w:spacing w:after="240" w:before="240" w:lineRule="auto"/>
        <w:jc w:val="both"/>
        <w:rPr/>
      </w:pPr>
      <w:bookmarkStart w:colFirst="0" w:colLast="0" w:name="_1y581y55x0zq" w:id="12"/>
      <w:bookmarkEnd w:id="12"/>
      <w:r w:rsidDel="00000000" w:rsidR="00000000" w:rsidRPr="00000000">
        <w:rPr>
          <w:rtl w:val="0"/>
        </w:rPr>
        <w:t xml:space="preserve">Attached files :</w:t>
      </w:r>
    </w:p>
    <w:p w:rsidR="00000000" w:rsidDel="00000000" w:rsidP="00000000" w:rsidRDefault="00000000" w:rsidRPr="00000000" w14:paraId="0000003E">
      <w:pPr>
        <w:spacing w:after="240" w:before="240" w:lineRule="auto"/>
        <w:jc w:val="both"/>
        <w:rPr>
          <w:color w:val="333333"/>
          <w:sz w:val="24"/>
          <w:szCs w:val="24"/>
          <w:highlight w:val="white"/>
        </w:rPr>
      </w:pPr>
      <w:r w:rsidDel="00000000" w:rsidR="00000000" w:rsidRPr="00000000">
        <w:rPr>
          <w:color w:val="333333"/>
          <w:sz w:val="24"/>
          <w:szCs w:val="24"/>
          <w:highlight w:val="white"/>
          <w:rtl w:val="0"/>
        </w:rPr>
        <w:t xml:space="preserve">1- the prepared protein pdb file.</w:t>
      </w:r>
    </w:p>
    <w:p w:rsidR="00000000" w:rsidDel="00000000" w:rsidP="00000000" w:rsidRDefault="00000000" w:rsidRPr="00000000" w14:paraId="0000003F">
      <w:pPr>
        <w:spacing w:after="240" w:before="240" w:lineRule="auto"/>
        <w:jc w:val="both"/>
        <w:rPr>
          <w:color w:val="333333"/>
          <w:sz w:val="24"/>
          <w:szCs w:val="24"/>
          <w:highlight w:val="white"/>
        </w:rPr>
      </w:pPr>
      <w:r w:rsidDel="00000000" w:rsidR="00000000" w:rsidRPr="00000000">
        <w:rPr>
          <w:color w:val="333333"/>
          <w:sz w:val="24"/>
          <w:szCs w:val="24"/>
          <w:highlight w:val="white"/>
          <w:rtl w:val="0"/>
        </w:rPr>
        <w:t xml:space="preserve">2- the binding side measurements.</w:t>
      </w:r>
    </w:p>
    <w:p w:rsidR="00000000" w:rsidDel="00000000" w:rsidP="00000000" w:rsidRDefault="00000000" w:rsidRPr="00000000" w14:paraId="00000040">
      <w:pPr>
        <w:spacing w:after="240" w:before="240" w:lineRule="auto"/>
        <w:jc w:val="both"/>
        <w:rPr>
          <w:color w:val="333333"/>
          <w:sz w:val="24"/>
          <w:szCs w:val="24"/>
          <w:highlight w:val="white"/>
        </w:rPr>
      </w:pPr>
      <w:r w:rsidDel="00000000" w:rsidR="00000000" w:rsidRPr="00000000">
        <w:rPr>
          <w:color w:val="333333"/>
          <w:sz w:val="24"/>
          <w:szCs w:val="24"/>
          <w:highlight w:val="white"/>
          <w:rtl w:val="0"/>
        </w:rPr>
        <w:t xml:space="preserve">3- the phytochemicals libraries table and SDF structures files</w:t>
      </w:r>
    </w:p>
    <w:p w:rsidR="00000000" w:rsidDel="00000000" w:rsidP="00000000" w:rsidRDefault="00000000" w:rsidRPr="00000000" w14:paraId="00000041">
      <w:pPr>
        <w:spacing w:after="240" w:before="240" w:lineRule="auto"/>
        <w:jc w:val="both"/>
        <w:rPr>
          <w:color w:val="333333"/>
          <w:sz w:val="24"/>
          <w:szCs w:val="24"/>
          <w:highlight w:val="white"/>
        </w:rPr>
      </w:pPr>
      <w:r w:rsidDel="00000000" w:rsidR="00000000" w:rsidRPr="00000000">
        <w:rPr>
          <w:color w:val="333333"/>
          <w:sz w:val="24"/>
          <w:szCs w:val="24"/>
          <w:highlight w:val="white"/>
          <w:rtl w:val="0"/>
        </w:rPr>
        <w:t xml:space="preserve">4- the docking result file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doi.org/10.1007/s00432-024-05878-0" TargetMode="External"/><Relationship Id="rId14" Type="http://schemas.openxmlformats.org/officeDocument/2006/relationships/hyperlink" Target="https://www.ncbi.nlm.nih.gov/books/NBK559177/" TargetMode="External"/><Relationship Id="rId17" Type="http://schemas.openxmlformats.org/officeDocument/2006/relationships/hyperlink" Target="https://www.cancer.gov/types/liver/what-is-liver-cancer" TargetMode="External"/><Relationship Id="rId16" Type="http://schemas.openxmlformats.org/officeDocument/2006/relationships/hyperlink" Target="https://doi.org/10.1186/s12885-018-5130-y" TargetMode="External"/><Relationship Id="rId5" Type="http://schemas.openxmlformats.org/officeDocument/2006/relationships/styles" Target="styles.xml"/><Relationship Id="rId19" Type="http://schemas.openxmlformats.org/officeDocument/2006/relationships/hyperlink" Target="https://doi.org/10.1186/1476-4598-10-12" TargetMode="External"/><Relationship Id="rId6" Type="http://schemas.openxmlformats.org/officeDocument/2006/relationships/image" Target="media/image2.png"/><Relationship Id="rId18" Type="http://schemas.openxmlformats.org/officeDocument/2006/relationships/hyperlink" Target="https://doi.org/10.1093/nar/gky473" TargetMode="Externa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