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62296" w14:textId="2290AD69" w:rsidR="001C3A0E" w:rsidRDefault="001C3A0E"/>
    <w:p w14:paraId="2C6E8240" w14:textId="4C7861C3" w:rsidR="00074A42" w:rsidRDefault="00EB3201" w:rsidP="00074A42">
      <w:pPr>
        <w:tabs>
          <w:tab w:val="left" w:pos="2442"/>
        </w:tabs>
        <w:rPr>
          <w:sz w:val="40"/>
          <w:szCs w:val="40"/>
        </w:rPr>
      </w:pPr>
      <w:r w:rsidRPr="00EB3201">
        <w:rPr>
          <w:sz w:val="40"/>
          <w:szCs w:val="40"/>
        </w:rPr>
        <w:drawing>
          <wp:inline distT="0" distB="0" distL="0" distR="0" wp14:anchorId="414B4A36" wp14:editId="31A4453C">
            <wp:extent cx="5943600" cy="5882005"/>
            <wp:effectExtent l="0" t="0" r="0" b="0"/>
            <wp:docPr id="146356287"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6287" name="Picture 1" descr="A blue and orange pie chart&#10;&#10;Description automatically generated"/>
                    <pic:cNvPicPr/>
                  </pic:nvPicPr>
                  <pic:blipFill>
                    <a:blip r:embed="rId5"/>
                    <a:stretch>
                      <a:fillRect/>
                    </a:stretch>
                  </pic:blipFill>
                  <pic:spPr>
                    <a:xfrm>
                      <a:off x="0" y="0"/>
                      <a:ext cx="5943600" cy="5882005"/>
                    </a:xfrm>
                    <a:prstGeom prst="rect">
                      <a:avLst/>
                    </a:prstGeom>
                  </pic:spPr>
                </pic:pic>
              </a:graphicData>
            </a:graphic>
          </wp:inline>
        </w:drawing>
      </w:r>
    </w:p>
    <w:p w14:paraId="6DEC11A5" w14:textId="22E309F0" w:rsidR="00EB3201" w:rsidRDefault="00C6036B" w:rsidP="00EB3201">
      <w:r>
        <w:t xml:space="preserve">The pie chart reveals that total retirement assets for individuals with home equity are significantly higher compared to those </w:t>
      </w:r>
      <w:r>
        <w:t>without.</w:t>
      </w:r>
    </w:p>
    <w:p w14:paraId="5FD2D674" w14:textId="30F1265D" w:rsidR="00C6036B" w:rsidRDefault="00C6036B" w:rsidP="00C6036B">
      <w:pPr>
        <w:pStyle w:val="NormalWeb"/>
        <w:numPr>
          <w:ilvl w:val="0"/>
          <w:numId w:val="5"/>
        </w:numPr>
        <w:rPr>
          <w:rFonts w:asciiTheme="minorHAnsi" w:hAnsiTheme="minorHAnsi"/>
        </w:rPr>
      </w:pPr>
      <w:r w:rsidRPr="00C6036B">
        <w:rPr>
          <w:rFonts w:asciiTheme="minorHAnsi" w:hAnsiTheme="minorHAnsi"/>
        </w:rPr>
        <w:t xml:space="preserve">Home equity often constitutes a substantial portion of net worth. For individuals with home equity, this value is included in their total retirement assets, leading </w:t>
      </w:r>
      <w:r w:rsidR="00913100" w:rsidRPr="00C6036B">
        <w:rPr>
          <w:rFonts w:asciiTheme="minorHAnsi" w:hAnsiTheme="minorHAnsi"/>
        </w:rPr>
        <w:t>to higher</w:t>
      </w:r>
      <w:r w:rsidRPr="00C6036B">
        <w:rPr>
          <w:rFonts w:asciiTheme="minorHAnsi" w:hAnsiTheme="minorHAnsi"/>
        </w:rPr>
        <w:t xml:space="preserve"> figures compared to those without such assets.</w:t>
      </w:r>
    </w:p>
    <w:p w14:paraId="100D3E3A" w14:textId="77777777" w:rsidR="00E95AD7" w:rsidRPr="00C6036B" w:rsidRDefault="00E95AD7" w:rsidP="00E95AD7">
      <w:pPr>
        <w:pStyle w:val="NormalWeb"/>
        <w:rPr>
          <w:rFonts w:asciiTheme="minorHAnsi" w:hAnsiTheme="minorHAnsi"/>
        </w:rPr>
      </w:pPr>
    </w:p>
    <w:p w14:paraId="0951FF27" w14:textId="76E1BEE1" w:rsidR="00E95AD7" w:rsidRDefault="00E95AD7" w:rsidP="00E95AD7">
      <w:pPr>
        <w:pStyle w:val="NormalWeb"/>
        <w:numPr>
          <w:ilvl w:val="0"/>
          <w:numId w:val="5"/>
        </w:numPr>
      </w:pPr>
      <w:r>
        <w:lastRenderedPageBreak/>
        <w:t xml:space="preserve"> Homeownership can be associated with more disciplined financial behavior and higher savings rates. Homeowners might prioritize retirement savings more, benefiting from the financial stability provided by their property.</w:t>
      </w:r>
    </w:p>
    <w:p w14:paraId="06431879" w14:textId="77777777" w:rsidR="00C6036B" w:rsidRPr="00C6036B" w:rsidRDefault="00C6036B" w:rsidP="00913100"/>
    <w:p w14:paraId="0E62FAFB" w14:textId="1A504ECE" w:rsidR="00C6036B" w:rsidRPr="00C6036B" w:rsidRDefault="00C6036B" w:rsidP="00C6036B">
      <w:pPr>
        <w:pStyle w:val="NormalWeb"/>
        <w:numPr>
          <w:ilvl w:val="0"/>
          <w:numId w:val="5"/>
        </w:numPr>
        <w:rPr>
          <w:rFonts w:asciiTheme="minorHAnsi" w:hAnsiTheme="minorHAnsi"/>
        </w:rPr>
      </w:pPr>
      <w:r w:rsidRPr="00C6036B">
        <w:rPr>
          <w:rFonts w:asciiTheme="minorHAnsi" w:hAnsiTheme="minorHAnsi"/>
        </w:rPr>
        <w:t>The higher total retirement assets observed for individuals with home equity can be attributed to the significant value of home equity, different financial behaviors, and potentially advantageous demographic factors. Understanding these factors can provide insight into the broader financial landscape and the role of homeownership in retirement planning.</w:t>
      </w:r>
    </w:p>
    <w:p w14:paraId="250D048B" w14:textId="3135B678" w:rsidR="00C6036B" w:rsidRPr="00C6036B" w:rsidRDefault="00C6036B" w:rsidP="00C6036B">
      <w:pPr>
        <w:pStyle w:val="ListParagraph"/>
        <w:ind w:left="765"/>
        <w:rPr>
          <w:sz w:val="40"/>
          <w:szCs w:val="40"/>
        </w:rPr>
      </w:pPr>
    </w:p>
    <w:p w14:paraId="2F63CFD4" w14:textId="2A0FDD56" w:rsidR="00EB3201" w:rsidRDefault="00EB3201" w:rsidP="00EB3201">
      <w:pPr>
        <w:tabs>
          <w:tab w:val="left" w:pos="2984"/>
        </w:tabs>
        <w:rPr>
          <w:sz w:val="40"/>
          <w:szCs w:val="40"/>
        </w:rPr>
      </w:pPr>
    </w:p>
    <w:p w14:paraId="3AA2F6A6" w14:textId="386A408A" w:rsidR="00EB3201" w:rsidRDefault="00EB3201" w:rsidP="00EB3201">
      <w:pPr>
        <w:pStyle w:val="NoSpacing"/>
      </w:pPr>
      <w:r w:rsidRPr="00EB3201">
        <w:drawing>
          <wp:inline distT="0" distB="0" distL="0" distR="0" wp14:anchorId="5F3AC486" wp14:editId="2882ECE2">
            <wp:extent cx="5422900" cy="4000500"/>
            <wp:effectExtent l="0" t="0" r="0" b="0"/>
            <wp:docPr id="1134897691" name="Picture 1" descr="A graph of a student loan pa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97691" name="Picture 1" descr="A graph of a student loan payment&#10;&#10;Description automatically generated"/>
                    <pic:cNvPicPr/>
                  </pic:nvPicPr>
                  <pic:blipFill>
                    <a:blip r:embed="rId6"/>
                    <a:stretch>
                      <a:fillRect/>
                    </a:stretch>
                  </pic:blipFill>
                  <pic:spPr>
                    <a:xfrm>
                      <a:off x="0" y="0"/>
                      <a:ext cx="5422900" cy="4000500"/>
                    </a:xfrm>
                    <a:prstGeom prst="rect">
                      <a:avLst/>
                    </a:prstGeom>
                  </pic:spPr>
                </pic:pic>
              </a:graphicData>
            </a:graphic>
          </wp:inline>
        </w:drawing>
      </w:r>
    </w:p>
    <w:p w14:paraId="0EE3C389" w14:textId="77777777" w:rsidR="00EB3201" w:rsidRDefault="00EB3201" w:rsidP="00EB3201">
      <w:pPr>
        <w:pStyle w:val="NoSpacing"/>
      </w:pPr>
    </w:p>
    <w:p w14:paraId="3828F06B" w14:textId="77777777" w:rsidR="00EB3201" w:rsidRDefault="00EB3201" w:rsidP="00EB3201">
      <w:pPr>
        <w:pStyle w:val="NoSpacing"/>
      </w:pPr>
    </w:p>
    <w:p w14:paraId="1FFC7C7D" w14:textId="79403D77" w:rsidR="00EB3201" w:rsidRDefault="006B56A5" w:rsidP="00EB3201">
      <w:pPr>
        <w:pStyle w:val="NoSpacing"/>
      </w:pPr>
      <w:r>
        <w:t>This scatter plot shows the anomalies between the total retirement assets ,monthly student loan payments and age group.</w:t>
      </w:r>
    </w:p>
    <w:p w14:paraId="21A8A135" w14:textId="77777777" w:rsidR="006B56A5" w:rsidRDefault="006B56A5" w:rsidP="006B56A5">
      <w:pPr>
        <w:pStyle w:val="NoSpacing"/>
        <w:ind w:left="720"/>
      </w:pPr>
    </w:p>
    <w:p w14:paraId="2C12A178" w14:textId="6C282C54" w:rsidR="00EB3201" w:rsidRDefault="00852704" w:rsidP="00852704">
      <w:pPr>
        <w:pStyle w:val="NoSpacing"/>
        <w:numPr>
          <w:ilvl w:val="0"/>
          <w:numId w:val="7"/>
        </w:numPr>
      </w:pPr>
      <w:r>
        <w:rPr>
          <w:rStyle w:val="Strong"/>
        </w:rPr>
        <w:lastRenderedPageBreak/>
        <w:t>Younger Age Groups (20-30)</w:t>
      </w:r>
      <w:r>
        <w:t>: Often have higher student loan payments and potentially lower retirement assets due to recent entry into the workforce and accumulating loans. show a strong negative relationship between student loan payments and retirement assets.</w:t>
      </w:r>
    </w:p>
    <w:p w14:paraId="5EEABB03" w14:textId="437A41A8" w:rsidR="00852704" w:rsidRDefault="00852704" w:rsidP="00852704">
      <w:pPr>
        <w:pStyle w:val="NoSpacing"/>
        <w:numPr>
          <w:ilvl w:val="0"/>
          <w:numId w:val="7"/>
        </w:numPr>
      </w:pPr>
      <w:r>
        <w:rPr>
          <w:rStyle w:val="Strong"/>
        </w:rPr>
        <w:t>Middle Age Groups (40-60)</w:t>
      </w:r>
      <w:r>
        <w:t>: May start seeing a reduction in student loan payments as loans are paid off and retirement savings begin to accumulate</w:t>
      </w:r>
      <w:r>
        <w:t>, also show a flattening trend as student loans decrease and retirement savings increase.</w:t>
      </w:r>
    </w:p>
    <w:p w14:paraId="63BD9679" w14:textId="77777777" w:rsidR="00852704" w:rsidRDefault="00852704" w:rsidP="00852704">
      <w:pPr>
        <w:pStyle w:val="NoSpacing"/>
        <w:ind w:left="720"/>
      </w:pPr>
    </w:p>
    <w:p w14:paraId="6013D9D4" w14:textId="53A11D28" w:rsidR="00852704" w:rsidRPr="00852704" w:rsidRDefault="00852704" w:rsidP="0085270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52704">
        <w:rPr>
          <w:rFonts w:ascii="Times New Roman" w:eastAsia="Times New Roman" w:hAnsi="Times New Roman" w:cs="Times New Roman"/>
          <w:b/>
          <w:bCs/>
          <w:kern w:val="0"/>
          <w14:ligatures w14:val="none"/>
        </w:rPr>
        <w:t>Older Age Groups (60-90)</w:t>
      </w:r>
      <w:r w:rsidRPr="00852704">
        <w:rPr>
          <w:rFonts w:ascii="Times New Roman" w:eastAsia="Times New Roman" w:hAnsi="Times New Roman" w:cs="Times New Roman"/>
          <w:kern w:val="0"/>
          <w14:ligatures w14:val="none"/>
        </w:rPr>
        <w:t>: Likely to have lower student loan payments if loans are paid off and potentially higher retirement assets due to years of saving.</w:t>
      </w:r>
      <w:r>
        <w:rPr>
          <w:rFonts w:ascii="Times New Roman" w:eastAsia="Times New Roman" w:hAnsi="Times New Roman" w:cs="Times New Roman"/>
          <w:kern w:val="0"/>
          <w14:ligatures w14:val="none"/>
        </w:rPr>
        <w:t xml:space="preserve"> Also to have lower student low payments with potentially higher retirement </w:t>
      </w:r>
      <w:r w:rsidR="009B6CD8">
        <w:rPr>
          <w:rFonts w:ascii="Times New Roman" w:eastAsia="Times New Roman" w:hAnsi="Times New Roman" w:cs="Times New Roman"/>
          <w:kern w:val="0"/>
          <w14:ligatures w14:val="none"/>
        </w:rPr>
        <w:t>assets, reflecting years of saving and loan repayment.</w:t>
      </w:r>
      <w:r w:rsidR="003C498B" w:rsidRPr="003C498B">
        <w:t xml:space="preserve"> </w:t>
      </w:r>
      <w:r w:rsidR="003C498B" w:rsidRPr="003C498B">
        <w:rPr>
          <w:rFonts w:ascii="Times New Roman" w:eastAsia="Times New Roman" w:hAnsi="Times New Roman" w:cs="Times New Roman"/>
          <w:kern w:val="0"/>
          <w14:ligatures w14:val="none"/>
        </w:rPr>
        <w:t>there's an odd amount of elderly people with high monthly student loan payments. There's the possibility that they've taken on the responsibility of paying their children's bills</w:t>
      </w:r>
    </w:p>
    <w:p w14:paraId="23F2DA4E" w14:textId="77777777" w:rsidR="00852704" w:rsidRDefault="00852704" w:rsidP="00852704">
      <w:pPr>
        <w:pStyle w:val="NoSpacing"/>
        <w:ind w:left="720"/>
      </w:pPr>
    </w:p>
    <w:p w14:paraId="02ABA6AA" w14:textId="77777777" w:rsidR="00EB3201" w:rsidRDefault="00EB3201" w:rsidP="00EB3201">
      <w:pPr>
        <w:pStyle w:val="NoSpacing"/>
      </w:pPr>
    </w:p>
    <w:p w14:paraId="5006922F" w14:textId="77777777" w:rsidR="00EB3201" w:rsidRDefault="00EB3201" w:rsidP="00EB3201">
      <w:pPr>
        <w:pStyle w:val="NoSpacing"/>
      </w:pPr>
    </w:p>
    <w:p w14:paraId="0467BF56" w14:textId="77777777" w:rsidR="00EB3201" w:rsidRDefault="00EB3201" w:rsidP="00EB3201">
      <w:pPr>
        <w:pStyle w:val="NoSpacing"/>
      </w:pPr>
    </w:p>
    <w:p w14:paraId="4DCE1DEA" w14:textId="77777777" w:rsidR="00EB3201" w:rsidRDefault="00EB3201" w:rsidP="00EB3201">
      <w:pPr>
        <w:pStyle w:val="NoSpacing"/>
      </w:pPr>
    </w:p>
    <w:p w14:paraId="7B7E354C" w14:textId="77777777" w:rsidR="00EB3201" w:rsidRDefault="00EB3201" w:rsidP="00EB3201">
      <w:pPr>
        <w:pStyle w:val="NoSpacing"/>
      </w:pPr>
    </w:p>
    <w:p w14:paraId="3E88619B" w14:textId="77777777" w:rsidR="00EB3201" w:rsidRDefault="00EB3201" w:rsidP="00EB3201">
      <w:pPr>
        <w:pStyle w:val="NoSpacing"/>
      </w:pPr>
    </w:p>
    <w:p w14:paraId="7824E400" w14:textId="77777777" w:rsidR="00EB3201" w:rsidRDefault="00EB3201" w:rsidP="00EB3201">
      <w:pPr>
        <w:pStyle w:val="NoSpacing"/>
      </w:pPr>
    </w:p>
    <w:p w14:paraId="0B4C32BA" w14:textId="77777777" w:rsidR="00EB3201" w:rsidRDefault="00EB3201" w:rsidP="00EB3201">
      <w:pPr>
        <w:pStyle w:val="NoSpacing"/>
      </w:pPr>
    </w:p>
    <w:p w14:paraId="6F32864F" w14:textId="77777777" w:rsidR="00EB3201" w:rsidRDefault="00EB3201" w:rsidP="00EB3201">
      <w:pPr>
        <w:pStyle w:val="NoSpacing"/>
      </w:pPr>
    </w:p>
    <w:p w14:paraId="377B9023" w14:textId="77777777" w:rsidR="00EB3201" w:rsidRDefault="00EB3201" w:rsidP="00EB3201">
      <w:pPr>
        <w:pStyle w:val="NoSpacing"/>
      </w:pPr>
    </w:p>
    <w:p w14:paraId="5631F6D4" w14:textId="77777777" w:rsidR="00EB3201" w:rsidRDefault="00EB3201" w:rsidP="00EB3201">
      <w:pPr>
        <w:pStyle w:val="NoSpacing"/>
      </w:pPr>
    </w:p>
    <w:p w14:paraId="360DB3F2" w14:textId="77777777" w:rsidR="00EB3201" w:rsidRDefault="00EB3201" w:rsidP="00EB3201">
      <w:pPr>
        <w:pStyle w:val="NoSpacing"/>
      </w:pPr>
    </w:p>
    <w:p w14:paraId="5D525EA9" w14:textId="77777777" w:rsidR="00EB3201" w:rsidRDefault="00EB3201" w:rsidP="00EB3201">
      <w:pPr>
        <w:pStyle w:val="NoSpacing"/>
      </w:pPr>
    </w:p>
    <w:p w14:paraId="5B380502" w14:textId="77777777" w:rsidR="00EB3201" w:rsidRDefault="00EB3201" w:rsidP="00EB3201">
      <w:pPr>
        <w:pStyle w:val="NoSpacing"/>
      </w:pPr>
    </w:p>
    <w:p w14:paraId="1B060726" w14:textId="77777777" w:rsidR="00EB3201" w:rsidRDefault="00EB3201" w:rsidP="00EB3201">
      <w:pPr>
        <w:pStyle w:val="NoSpacing"/>
      </w:pPr>
    </w:p>
    <w:p w14:paraId="110C5BED" w14:textId="77473136" w:rsidR="00EB3201" w:rsidRDefault="0063756F" w:rsidP="00EB3201">
      <w:pPr>
        <w:pStyle w:val="NoSpacing"/>
      </w:pPr>
      <w:r w:rsidRPr="00EB3201">
        <w:lastRenderedPageBreak/>
        <w:drawing>
          <wp:inline distT="0" distB="0" distL="0" distR="0" wp14:anchorId="0137E832" wp14:editId="7B5FC5C7">
            <wp:extent cx="6565576" cy="2939983"/>
            <wp:effectExtent l="114300" t="101600" r="114935" b="133985"/>
            <wp:docPr id="1494111657"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11657" name="Picture 1" descr="A graph with lines and numbers&#10;&#10;Description automatically generated with medium confidence"/>
                    <pic:cNvPicPr/>
                  </pic:nvPicPr>
                  <pic:blipFill>
                    <a:blip r:embed="rId7"/>
                    <a:stretch>
                      <a:fillRect/>
                    </a:stretch>
                  </pic:blipFill>
                  <pic:spPr>
                    <a:xfrm>
                      <a:off x="0" y="0"/>
                      <a:ext cx="6584296" cy="29483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68B5F3" w14:textId="25299CBD" w:rsidR="00EB3201" w:rsidRDefault="00EB3201" w:rsidP="00EB3201">
      <w:pPr>
        <w:pStyle w:val="NoSpacing"/>
      </w:pPr>
    </w:p>
    <w:p w14:paraId="041D6D28" w14:textId="650230F7" w:rsidR="00EB3201" w:rsidRDefault="0063756F" w:rsidP="00EB3201">
      <w:pPr>
        <w:pStyle w:val="NoSpacing"/>
      </w:pPr>
      <w:r>
        <w:t>Bar line shows a big difference through (Age Group) based on the average quasi-liquid retirement assets and average retirement assets by occupation category</w:t>
      </w:r>
    </w:p>
    <w:p w14:paraId="23715AF5" w14:textId="77777777" w:rsidR="0063756F" w:rsidRDefault="0063756F" w:rsidP="00EB3201">
      <w:pPr>
        <w:pStyle w:val="NoSpacing"/>
      </w:pPr>
    </w:p>
    <w:p w14:paraId="2BAE8DC8" w14:textId="3C13F06A" w:rsidR="00C6036B" w:rsidRDefault="00C6036B" w:rsidP="00C6036B">
      <w:pPr>
        <w:pStyle w:val="NoSpacing"/>
        <w:numPr>
          <w:ilvl w:val="0"/>
          <w:numId w:val="2"/>
        </w:numPr>
        <w:rPr>
          <w:rFonts w:ascii="Helvetica" w:hAnsi="Helvetica" w:cs="Helvetica"/>
          <w:kern w:val="0"/>
        </w:rPr>
      </w:pPr>
      <w:r>
        <w:rPr>
          <w:rFonts w:ascii="Helvetica" w:hAnsi="Helvetica" w:cs="Helvetica"/>
          <w:kern w:val="0"/>
        </w:rPr>
        <w:t>Among all age groups, those in the managerial/</w:t>
      </w:r>
      <w:r>
        <w:rPr>
          <w:rFonts w:ascii="Helvetica" w:hAnsi="Helvetica" w:cs="Helvetica"/>
          <w:kern w:val="0"/>
        </w:rPr>
        <w:t>professional</w:t>
      </w:r>
      <w:r>
        <w:rPr>
          <w:rFonts w:ascii="Helvetica" w:hAnsi="Helvetica" w:cs="Helvetica"/>
          <w:kern w:val="0"/>
        </w:rPr>
        <w:t xml:space="preserve"> occupation category </w:t>
      </w:r>
      <w:r>
        <w:rPr>
          <w:rFonts w:ascii="Helvetica" w:hAnsi="Helvetica" w:cs="Helvetica"/>
          <w:kern w:val="0"/>
        </w:rPr>
        <w:t xml:space="preserve">have </w:t>
      </w:r>
      <w:r>
        <w:rPr>
          <w:rFonts w:ascii="Helvetica" w:hAnsi="Helvetica" w:cs="Helvetica"/>
          <w:kern w:val="0"/>
        </w:rPr>
        <w:t>more in their retirement asse</w:t>
      </w:r>
      <w:r>
        <w:rPr>
          <w:rFonts w:ascii="Helvetica" w:hAnsi="Helvetica" w:cs="Helvetica"/>
          <w:kern w:val="0"/>
        </w:rPr>
        <w:t xml:space="preserve">ts. </w:t>
      </w:r>
    </w:p>
    <w:p w14:paraId="06910F91" w14:textId="77777777" w:rsidR="00E95AD7" w:rsidRDefault="00E95AD7" w:rsidP="00E95AD7">
      <w:pPr>
        <w:pStyle w:val="NoSpacing"/>
        <w:ind w:left="1080"/>
        <w:rPr>
          <w:rFonts w:ascii="Helvetica" w:hAnsi="Helvetica" w:cs="Helvetica"/>
          <w:kern w:val="0"/>
        </w:rPr>
      </w:pPr>
    </w:p>
    <w:p w14:paraId="6B84B7B9" w14:textId="77777777" w:rsidR="00E95AD7" w:rsidRDefault="00E95AD7" w:rsidP="00E95AD7">
      <w:pPr>
        <w:pStyle w:val="NoSpacing"/>
        <w:ind w:left="1080"/>
        <w:rPr>
          <w:rFonts w:ascii="Helvetica" w:hAnsi="Helvetica" w:cs="Helvetica"/>
          <w:kern w:val="0"/>
        </w:rPr>
      </w:pPr>
    </w:p>
    <w:p w14:paraId="2BCE4991" w14:textId="6FD6D763" w:rsidR="00C6036B" w:rsidRDefault="00C6036B" w:rsidP="00E95AD7">
      <w:pPr>
        <w:pStyle w:val="NoSpacing"/>
        <w:numPr>
          <w:ilvl w:val="0"/>
          <w:numId w:val="2"/>
        </w:numPr>
        <w:rPr>
          <w:rFonts w:ascii="Helvetica" w:hAnsi="Helvetica" w:cs="Helvetica"/>
          <w:kern w:val="0"/>
        </w:rPr>
      </w:pPr>
      <w:r>
        <w:rPr>
          <w:rFonts w:ascii="Helvetica" w:hAnsi="Helvetica" w:cs="Helvetica"/>
          <w:kern w:val="0"/>
        </w:rPr>
        <w:t>The Trends between the technical/sales/services and other occupa</w:t>
      </w:r>
      <w:r w:rsidR="00E95AD7">
        <w:rPr>
          <w:rFonts w:ascii="Helvetica" w:hAnsi="Helvetica" w:cs="Helvetica"/>
          <w:kern w:val="0"/>
        </w:rPr>
        <w:t>tion categories are relatively similar.</w:t>
      </w:r>
    </w:p>
    <w:p w14:paraId="4BEE5695" w14:textId="77777777" w:rsidR="009B6CD8" w:rsidRDefault="009B6CD8" w:rsidP="009B6CD8">
      <w:pPr>
        <w:pStyle w:val="NoSpacing"/>
        <w:ind w:left="1080"/>
        <w:rPr>
          <w:rFonts w:ascii="Helvetica" w:hAnsi="Helvetica" w:cs="Helvetica"/>
          <w:kern w:val="0"/>
        </w:rPr>
      </w:pPr>
    </w:p>
    <w:p w14:paraId="6A5B1C01" w14:textId="4E8EF1E3" w:rsidR="00E95AD7" w:rsidRPr="00C6036B" w:rsidRDefault="00E95AD7" w:rsidP="00E95AD7">
      <w:pPr>
        <w:pStyle w:val="NoSpacing"/>
        <w:numPr>
          <w:ilvl w:val="0"/>
          <w:numId w:val="2"/>
        </w:numPr>
        <w:rPr>
          <w:rFonts w:ascii="Helvetica" w:hAnsi="Helvetica" w:cs="Helvetica"/>
          <w:kern w:val="0"/>
        </w:rPr>
      </w:pPr>
      <w:r>
        <w:rPr>
          <w:rFonts w:ascii="Helvetica" w:hAnsi="Helvetica" w:cs="Helvetica"/>
          <w:kern w:val="0"/>
        </w:rPr>
        <w:t>The amount in retirement assets for those who are in the "not working" occupation category increases with age because older ages in this category are probably retirees. There is a decrease in their retirement assets after the 65-74 age group because these age groups are probably retirees spending what is saved in their retirement</w:t>
      </w:r>
    </w:p>
    <w:sectPr w:rsidR="00E95AD7" w:rsidRPr="00C6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B7817"/>
    <w:multiLevelType w:val="hybridMultilevel"/>
    <w:tmpl w:val="42BA57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4BCD"/>
    <w:multiLevelType w:val="hybridMultilevel"/>
    <w:tmpl w:val="8670FD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C6713"/>
    <w:multiLevelType w:val="multilevel"/>
    <w:tmpl w:val="2A80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14E1A"/>
    <w:multiLevelType w:val="hybridMultilevel"/>
    <w:tmpl w:val="15C0D4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C14CC"/>
    <w:multiLevelType w:val="hybridMultilevel"/>
    <w:tmpl w:val="5CF6AA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642DDD"/>
    <w:multiLevelType w:val="hybridMultilevel"/>
    <w:tmpl w:val="62585234"/>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85A14D0"/>
    <w:multiLevelType w:val="hybridMultilevel"/>
    <w:tmpl w:val="552E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72A6E"/>
    <w:multiLevelType w:val="hybridMultilevel"/>
    <w:tmpl w:val="D36C8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4217000">
    <w:abstractNumId w:val="6"/>
  </w:num>
  <w:num w:numId="2" w16cid:durableId="417479245">
    <w:abstractNumId w:val="4"/>
  </w:num>
  <w:num w:numId="3" w16cid:durableId="2025016977">
    <w:abstractNumId w:val="5"/>
  </w:num>
  <w:num w:numId="4" w16cid:durableId="1934514864">
    <w:abstractNumId w:val="3"/>
  </w:num>
  <w:num w:numId="5" w16cid:durableId="690767707">
    <w:abstractNumId w:val="0"/>
  </w:num>
  <w:num w:numId="6" w16cid:durableId="1761674820">
    <w:abstractNumId w:val="7"/>
  </w:num>
  <w:num w:numId="7" w16cid:durableId="43144925">
    <w:abstractNumId w:val="1"/>
  </w:num>
  <w:num w:numId="8" w16cid:durableId="1818916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42"/>
    <w:rsid w:val="00074A42"/>
    <w:rsid w:val="00113C74"/>
    <w:rsid w:val="001C3A0E"/>
    <w:rsid w:val="003C498B"/>
    <w:rsid w:val="005E0D84"/>
    <w:rsid w:val="0063756F"/>
    <w:rsid w:val="00662A38"/>
    <w:rsid w:val="006B56A5"/>
    <w:rsid w:val="00852704"/>
    <w:rsid w:val="00867ACE"/>
    <w:rsid w:val="00884A2F"/>
    <w:rsid w:val="008A75E2"/>
    <w:rsid w:val="00913100"/>
    <w:rsid w:val="009B6CD8"/>
    <w:rsid w:val="00A813EB"/>
    <w:rsid w:val="00C6036B"/>
    <w:rsid w:val="00CD7F2D"/>
    <w:rsid w:val="00E95AD7"/>
    <w:rsid w:val="00EB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0BDC1"/>
  <w15:chartTrackingRefBased/>
  <w15:docId w15:val="{8FB98DF8-3C1F-5B4A-B19A-B4FE61CD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A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A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A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A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A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A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A42"/>
    <w:rPr>
      <w:rFonts w:eastAsiaTheme="majorEastAsia" w:cstheme="majorBidi"/>
      <w:color w:val="272727" w:themeColor="text1" w:themeTint="D8"/>
    </w:rPr>
  </w:style>
  <w:style w:type="paragraph" w:styleId="Title">
    <w:name w:val="Title"/>
    <w:basedOn w:val="Normal"/>
    <w:next w:val="Normal"/>
    <w:link w:val="TitleChar"/>
    <w:uiPriority w:val="10"/>
    <w:qFormat/>
    <w:rsid w:val="00074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A42"/>
    <w:pPr>
      <w:spacing w:before="160"/>
      <w:jc w:val="center"/>
    </w:pPr>
    <w:rPr>
      <w:i/>
      <w:iCs/>
      <w:color w:val="404040" w:themeColor="text1" w:themeTint="BF"/>
    </w:rPr>
  </w:style>
  <w:style w:type="character" w:customStyle="1" w:styleId="QuoteChar">
    <w:name w:val="Quote Char"/>
    <w:basedOn w:val="DefaultParagraphFont"/>
    <w:link w:val="Quote"/>
    <w:uiPriority w:val="29"/>
    <w:rsid w:val="00074A42"/>
    <w:rPr>
      <w:i/>
      <w:iCs/>
      <w:color w:val="404040" w:themeColor="text1" w:themeTint="BF"/>
    </w:rPr>
  </w:style>
  <w:style w:type="paragraph" w:styleId="ListParagraph">
    <w:name w:val="List Paragraph"/>
    <w:basedOn w:val="Normal"/>
    <w:uiPriority w:val="34"/>
    <w:qFormat/>
    <w:rsid w:val="00074A42"/>
    <w:pPr>
      <w:ind w:left="720"/>
      <w:contextualSpacing/>
    </w:pPr>
  </w:style>
  <w:style w:type="character" w:styleId="IntenseEmphasis">
    <w:name w:val="Intense Emphasis"/>
    <w:basedOn w:val="DefaultParagraphFont"/>
    <w:uiPriority w:val="21"/>
    <w:qFormat/>
    <w:rsid w:val="00074A42"/>
    <w:rPr>
      <w:i/>
      <w:iCs/>
      <w:color w:val="0F4761" w:themeColor="accent1" w:themeShade="BF"/>
    </w:rPr>
  </w:style>
  <w:style w:type="paragraph" w:styleId="IntenseQuote">
    <w:name w:val="Intense Quote"/>
    <w:basedOn w:val="Normal"/>
    <w:next w:val="Normal"/>
    <w:link w:val="IntenseQuoteChar"/>
    <w:uiPriority w:val="30"/>
    <w:qFormat/>
    <w:rsid w:val="00074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A42"/>
    <w:rPr>
      <w:i/>
      <w:iCs/>
      <w:color w:val="0F4761" w:themeColor="accent1" w:themeShade="BF"/>
    </w:rPr>
  </w:style>
  <w:style w:type="character" w:styleId="IntenseReference">
    <w:name w:val="Intense Reference"/>
    <w:basedOn w:val="DefaultParagraphFont"/>
    <w:uiPriority w:val="32"/>
    <w:qFormat/>
    <w:rsid w:val="00074A42"/>
    <w:rPr>
      <w:b/>
      <w:bCs/>
      <w:smallCaps/>
      <w:color w:val="0F4761" w:themeColor="accent1" w:themeShade="BF"/>
      <w:spacing w:val="5"/>
    </w:rPr>
  </w:style>
  <w:style w:type="paragraph" w:styleId="NoSpacing">
    <w:name w:val="No Spacing"/>
    <w:uiPriority w:val="1"/>
    <w:qFormat/>
    <w:rsid w:val="00EB3201"/>
    <w:pPr>
      <w:spacing w:after="0" w:line="240" w:lineRule="auto"/>
    </w:pPr>
  </w:style>
  <w:style w:type="paragraph" w:styleId="NormalWeb">
    <w:name w:val="Normal (Web)"/>
    <w:basedOn w:val="Normal"/>
    <w:uiPriority w:val="99"/>
    <w:semiHidden/>
    <w:unhideWhenUsed/>
    <w:rsid w:val="00C6036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52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1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5611</TotalTime>
  <Pages>4</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Rodriguez</dc:creator>
  <cp:keywords/>
  <dc:description/>
  <cp:lastModifiedBy>Agustin Rodriguez</cp:lastModifiedBy>
  <cp:revision>2</cp:revision>
  <dcterms:created xsi:type="dcterms:W3CDTF">2024-09-03T23:30:00Z</dcterms:created>
  <dcterms:modified xsi:type="dcterms:W3CDTF">2024-09-08T19:24:00Z</dcterms:modified>
</cp:coreProperties>
</file>