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2BDE" w:rsidRDefault="00000000">
      <w:pPr>
        <w:pBdr>
          <w:bottom w:val="thick" w:sz="12" w:space="0" w:color="003D82"/>
        </w:pBdr>
      </w:pPr>
      <w:r>
        <w:rPr>
          <w:sz w:val="4"/>
          <w:szCs w:val="4"/>
        </w:rPr>
        <w:t xml:space="preserve"> </w:t>
      </w:r>
    </w:p>
    <w:p w:rsidR="00A02BDE" w:rsidRDefault="00000000">
      <w:pPr>
        <w:spacing w:before="200"/>
      </w:pPr>
      <w:r>
        <w:rPr>
          <w:color w:val="666666"/>
          <w:sz w:val="20"/>
          <w:szCs w:val="20"/>
        </w:rPr>
        <w:t>0-Sphere Model  —  Conceptual Overview</w:t>
      </w:r>
    </w:p>
    <w:p w:rsidR="00A02BDE" w:rsidRDefault="00000000">
      <w:pPr>
        <w:spacing w:before="160"/>
      </w:pPr>
      <w:r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  <w:t>U(1) Fiber Bundle and Berry Phase</w:t>
      </w:r>
    </w:p>
    <w:p w:rsidR="00A02BDE" w:rsidRDefault="00000000">
      <w:pPr>
        <w:spacing w:before="120"/>
      </w:pPr>
      <w:r>
        <w:rPr>
          <w:rFonts w:ascii="Times New Roman" w:eastAsia="Times New Roman" w:hAnsi="Times New Roman" w:cs="Times New Roman"/>
          <w:color w:val="003D82"/>
          <w:sz w:val="28"/>
          <w:szCs w:val="28"/>
        </w:rPr>
        <w:t>Why g = 2 Is a Geometric Necessity</w:t>
      </w:r>
    </w:p>
    <w:p w:rsidR="00A02BDE" w:rsidRDefault="00000000">
      <w:pPr>
        <w:spacing w:before="160"/>
      </w:pPr>
      <w:r>
        <w:rPr>
          <w:color w:val="666666"/>
          <w:sz w:val="20"/>
          <w:szCs w:val="20"/>
        </w:rPr>
        <w:t>Satoshi Hanamura   |   March 2026   |</w:t>
      </w:r>
    </w:p>
    <w:p w:rsidR="00F0564B" w:rsidRDefault="00000000" w:rsidP="00F0564B">
      <w:pPr>
        <w:pBdr>
          <w:top w:val="single" w:sz="4" w:space="0" w:color="DDDDDD"/>
          <w:left w:val="thick" w:sz="16" w:space="0" w:color="003D82"/>
        </w:pBdr>
        <w:shd w:val="clear" w:color="auto" w:fill="EEF3FA"/>
        <w:spacing w:before="160"/>
        <w:ind w:left="400" w:right="360"/>
      </w:pPr>
      <w:r>
        <w:rPr>
          <w:b/>
          <w:bCs/>
          <w:color w:val="003D82"/>
          <w:sz w:val="19"/>
          <w:szCs w:val="19"/>
        </w:rPr>
        <w:t xml:space="preserve">Companion paper  (#48)  </w:t>
      </w:r>
      <w:r>
        <w:rPr>
          <w:i/>
          <w:iCs/>
          <w:color w:val="1A1A1A"/>
          <w:sz w:val="19"/>
          <w:szCs w:val="19"/>
        </w:rPr>
        <w:t>Geometric Origin of g = 2 in the 0-Sphere Model: U(1) Fiber Bundle and Dual-Frame Phase Decomposition</w:t>
      </w:r>
    </w:p>
    <w:p w:rsidR="00A02BDE" w:rsidRDefault="00000000" w:rsidP="00F0564B">
      <w:pPr>
        <w:pBdr>
          <w:top w:val="single" w:sz="4" w:space="0" w:color="DDDDDD"/>
          <w:left w:val="thick" w:sz="16" w:space="0" w:color="003D82"/>
        </w:pBdr>
        <w:shd w:val="clear" w:color="auto" w:fill="EEF3FA"/>
        <w:spacing w:before="160"/>
        <w:ind w:left="400" w:right="360"/>
      </w:pPr>
      <w:r>
        <w:rPr>
          <w:b/>
          <w:bCs/>
          <w:color w:val="003D82"/>
          <w:sz w:val="19"/>
          <w:szCs w:val="19"/>
        </w:rPr>
        <w:t>DOI: 10.5281/zenodo.19227518</w:t>
      </w:r>
      <w:r>
        <w:rPr>
          <w:color w:val="666666"/>
          <w:sz w:val="19"/>
          <w:szCs w:val="19"/>
        </w:rPr>
        <w:t xml:space="preserve">   —   </w:t>
      </w:r>
      <w:r>
        <w:rPr>
          <w:color w:val="003D82"/>
          <w:sz w:val="19"/>
          <w:szCs w:val="19"/>
        </w:rPr>
        <w:t>http://doi.org/10.5281/zenodo.19227518</w:t>
      </w:r>
    </w:p>
    <w:p w:rsidR="00A02BDE" w:rsidRDefault="00000000">
      <w:pPr>
        <w:pBdr>
          <w:bottom w:val="single" w:sz="4" w:space="0" w:color="DDDDDD"/>
        </w:pBdr>
        <w:spacing w:before="120" w:after="280"/>
      </w:pPr>
      <w:r>
        <w:rPr>
          <w:i/>
          <w:iCs/>
          <w:color w:val="666666"/>
          <w:sz w:val="19"/>
          <w:szCs w:val="19"/>
        </w:rPr>
        <w:t>This accessible overview accompanies the research paper cited above. It presents the paper's central arguments in a form intended for readers approaching the 0-Sphere Model for the first time, or seeking a conceptual entry point before engaging with the full technical text. All physical claims, interpretations, and conclusions follow those of the companion paper.</w:t>
      </w:r>
    </w:p>
    <w:p w:rsidR="00A02BDE" w:rsidRDefault="00A02BDE">
      <w:pPr>
        <w:spacing w:before="200"/>
      </w:pPr>
    </w:p>
    <w:p w:rsidR="00A02BDE" w:rsidRDefault="00000000">
      <w:pPr>
        <w:pStyle w:val="Heading1"/>
        <w:pBdr>
          <w:bottom w:val="single" w:sz="8" w:space="6" w:color="000000"/>
        </w:pBdr>
      </w:pPr>
      <w:r>
        <w:t>0.  The Central Question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Physics textbooks state that the electron g-factor equals 2 — a correct prediction derived from the Dirac equation. Yet when one asks why the value is precisely 2, the standard answer becomes circular: it follows from the algebraic structure of the Dirac equation, which was itself constructed to reproduce that value.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This paper asks a sharper question.</w:t>
      </w:r>
    </w:p>
    <w:p w:rsidR="00A02BDE" w:rsidRDefault="00A02BDE">
      <w:pPr>
        <w:spacing w:before="80"/>
      </w:pPr>
    </w:p>
    <w:p w:rsidR="00A02BDE" w:rsidRDefault="00000000">
      <w:pPr>
        <w:pBdr>
          <w:left w:val="thick" w:sz="20" w:space="12" w:color="003D82"/>
        </w:pBdr>
        <w:shd w:val="clear" w:color="auto" w:fill="F5F5F5"/>
        <w:spacing w:before="120" w:after="120" w:line="340" w:lineRule="auto"/>
        <w:ind w:left="480" w:right="360"/>
      </w:pPr>
      <w:r>
        <w:rPr>
          <w:rFonts w:ascii="Times New Roman" w:eastAsia="Times New Roman" w:hAnsi="Times New Roman" w:cs="Times New Roman"/>
          <w:b/>
          <w:bCs/>
          <w:color w:val="003D82"/>
        </w:rPr>
        <w:t xml:space="preserve">Central Question  </w:t>
      </w:r>
      <w:r>
        <w:rPr>
          <w:color w:val="1A1A1A"/>
        </w:rPr>
        <w:t>If the electron possesses an internal geometric oscillation, does g = 2 emerge as a structural necessity — not a substituted number, but the unique output of a topologically protected invariant?</w:t>
      </w:r>
    </w:p>
    <w:p w:rsidR="00A02BDE" w:rsidRDefault="00A02BDE">
      <w:pPr>
        <w:spacing w:before="80"/>
      </w:pP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answer is yes. The framework that makes this precise is the U(1) principal fiber bundle and its associated Berry phase.</w:t>
      </w:r>
    </w:p>
    <w:p w:rsidR="00A02BDE" w:rsidRDefault="00A02BDE">
      <w:pPr>
        <w:spacing w:before="220"/>
      </w:pPr>
    </w:p>
    <w:p w:rsidR="00A02BDE" w:rsidRDefault="00000000">
      <w:pPr>
        <w:pStyle w:val="Heading1"/>
        <w:pBdr>
          <w:bottom w:val="single" w:sz="8" w:space="6" w:color="000000"/>
        </w:pBdr>
      </w:pPr>
      <w:r>
        <w:t>1.  Internal Structure of the 0-Sphere Model</w:t>
      </w:r>
    </w:p>
    <w:p w:rsidR="00A02BDE" w:rsidRDefault="00000000">
      <w:pPr>
        <w:pStyle w:val="Heading2"/>
        <w:pBdr>
          <w:bottom w:val="single" w:sz="4" w:space="4" w:color="DDDDDD"/>
        </w:pBdr>
      </w:pPr>
      <w:r>
        <w:t>1-1  The Two-Kernel Architecture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0-Sphere Model posits that the electron contains two energy kernels A and B, connected by an oscillating photon sphere. Total energy is conserved across three components at all times:</w:t>
      </w:r>
    </w:p>
    <w:p w:rsidR="00A02BDE" w:rsidRDefault="00A02BDE">
      <w:pPr>
        <w:spacing w:before="60"/>
      </w:pPr>
    </w:p>
    <w:p w:rsidR="00A02BDE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(θ)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(θ)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transition</m:t>
              </m:r>
            </m:sub>
          </m:sSub>
          <m:r>
            <w:rPr>
              <w:rFonts w:ascii="Cambria Math" w:hAnsi="Cambria Math"/>
            </w:rPr>
            <m:t>(θ)</m:t>
          </m:r>
        </m:oMath>
      </m:oMathPara>
    </w:p>
    <w:p w:rsidR="00A02BDE" w:rsidRDefault="00A02BDE">
      <w:pPr>
        <w:spacing w:before="60"/>
      </w:pP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Each component follows the Stefan-Boltzmann radiation law — a fourth-power dependence on the internal phase:</w:t>
      </w:r>
    </w:p>
    <w:p w:rsidR="00A02BDE" w:rsidRDefault="00A02BDE">
      <w:pPr>
        <w:spacing w:before="60"/>
      </w:pPr>
    </w:p>
    <w:p w:rsidR="00A02BDE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(θ)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:rsidR="00A02BDE" w:rsidRDefault="00000000">
      <w:pPr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 xml:space="preserve">T(θ)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θ</m:t>
          </m:r>
        </m:oMath>
      </m:oMathPara>
    </w:p>
    <w:p w:rsidR="00A02BDE" w:rsidRDefault="00A02BDE">
      <w:pPr>
        <w:spacing w:before="60"/>
      </w:pPr>
    </w:p>
    <w:p w:rsidR="00A02BDE" w:rsidRDefault="00000000">
      <w:pPr>
        <w:pBdr>
          <w:left w:val="thick" w:sz="20" w:space="12" w:color="003D82"/>
        </w:pBdr>
        <w:shd w:val="clear" w:color="auto" w:fill="F5F5F5"/>
        <w:spacing w:before="120" w:after="120" w:line="340" w:lineRule="auto"/>
        <w:ind w:left="480" w:right="360"/>
      </w:pPr>
      <w:r>
        <w:rPr>
          <w:rFonts w:ascii="Times New Roman" w:eastAsia="Times New Roman" w:hAnsi="Times New Roman" w:cs="Times New Roman"/>
          <w:b/>
          <w:bCs/>
          <w:color w:val="003D82"/>
        </w:rPr>
        <w:t xml:space="preserve">Structural note  </w:t>
      </w:r>
      <w:r>
        <w:rPr>
          <w:color w:val="1A1A1A"/>
        </w:rPr>
        <w:t>The fourth-power structure of Te₁ and Te₂ is a direct consequence of the Stefan-Boltzmann black-body radiation law. This same structure is the geometric origin of the factor 2 in g = 2.</w:t>
      </w:r>
    </w:p>
    <w:p w:rsidR="00A02BDE" w:rsidRDefault="00A02BDE">
      <w:pPr>
        <w:spacing w:before="180"/>
      </w:pPr>
    </w:p>
    <w:p w:rsidR="00A02BDE" w:rsidRDefault="00000000">
      <w:pPr>
        <w:pStyle w:val="Heading2"/>
        <w:pBdr>
          <w:bottom w:val="single" w:sz="4" w:space="4" w:color="DDDDDD"/>
        </w:pBdr>
      </w:pPr>
      <w:r>
        <w:t>1-2  Three Coexisting Periodicities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Introducing the internal phase variable θ = ωτ (where τ is proper time), a single 2π cycle contains three distinct periodicities:</w:t>
      </w:r>
    </w:p>
    <w:p w:rsidR="00A02BDE" w:rsidRDefault="00A02BDE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1182"/>
        <w:gridCol w:w="5493"/>
      </w:tblGrid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Phase Structure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Physical Quantity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Half-angle  θ/2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Thermal energy Te₁  (kernel A → B transition)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Normal angle  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2π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Kinetic energy T  (photon sphere oscillation)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Double angle  2θ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4π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Thomas angular velocity Ω_T  (spinorial)</w:t>
            </w:r>
          </w:p>
        </w:tc>
      </w:tr>
    </w:tbl>
    <w:p w:rsidR="00A02BDE" w:rsidRDefault="00A02BDE">
      <w:pPr>
        <w:spacing w:before="60"/>
      </w:pPr>
    </w:p>
    <w:p w:rsidR="00A02BDE" w:rsidRDefault="00000000">
      <w:pPr>
        <w:spacing w:before="80" w:after="80" w:line="340" w:lineRule="auto"/>
        <w:ind w:left="480" w:right="360"/>
      </w:pPr>
      <w:r>
        <w:rPr>
          <w:i/>
          <w:iCs/>
          <w:color w:val="666666"/>
          <w:sz w:val="20"/>
          <w:szCs w:val="20"/>
        </w:rPr>
        <w:t>A single oscillation simultaneously encodes π, 2π, and 4π periodicities. These will later correspond to spin-2, spin-1, and spin-½ respectively.</w:t>
      </w:r>
    </w:p>
    <w:p w:rsidR="00A02BDE" w:rsidRDefault="00000000">
      <w:pPr>
        <w:pBdr>
          <w:left w:val="thick" w:sz="16" w:space="10" w:color="444444"/>
        </w:pBdr>
        <w:shd w:val="clear" w:color="auto" w:fill="F5F5F5"/>
        <w:spacing w:before="120" w:after="120" w:line="340" w:lineRule="auto"/>
        <w:ind w:left="480" w:right="360"/>
      </w:pPr>
      <w:r>
        <w:rPr>
          <w:b/>
          <w:bCs/>
          <w:color w:val="444444"/>
          <w:sz w:val="19"/>
          <w:szCs w:val="19"/>
        </w:rPr>
        <w:t xml:space="preserve">Note on Zitterbewegung interpretation.  </w:t>
      </w:r>
      <w:r>
        <w:rPr>
          <w:color w:val="444444"/>
          <w:sz w:val="19"/>
          <w:szCs w:val="19"/>
        </w:rPr>
        <w:t>In standard quantum mechanics, Zitterbewegung is regarded as an artefact of the Dirac equation — a mathematical interference term between positive- and negative-energy solutions, removable by the Foldy–Wouthuysen transformation, with no physical significance. Its velocity is conventionally taken to be c (the speed of light). The 0-Sphere Model departs from this consensus on both counts: Zitterbewegung is interpreted as the physical oscillation of the photon sphere between kernels A and B, and its velocity is predicted to be v_ZB ≈ 0.04c — a sub-luminal value derived from the structural identity γ_L = 1 + a_e rather than from the Dirac equation directly. This reinterpretation is one of the foundational distinctions of the 0-Sphere Model from standard theory.</w:t>
      </w:r>
    </w:p>
    <w:p w:rsidR="00A02BDE" w:rsidRDefault="00A02BDE">
      <w:pPr>
        <w:spacing w:before="160"/>
      </w:pPr>
    </w:p>
    <w:p w:rsidR="00A02BDE" w:rsidRDefault="00992EE8">
      <w:pPr>
        <w:pBdr>
          <w:top w:val="single" w:sz="4" w:space="0" w:color="BBCCEE"/>
          <w:bottom w:val="none" w:sz="0" w:space="0" w:color="FFFFFF"/>
        </w:pBdr>
        <w:shd w:val="clear" w:color="auto" w:fill="F0F4FF"/>
        <w:spacing w:before="100"/>
        <w:jc w:val="center"/>
      </w:pPr>
      <w:r>
        <w:rPr>
          <w:b/>
          <w:bCs/>
          <w:noProof/>
          <w:color w:val="003D82"/>
          <w:sz w:val="20"/>
          <w:szCs w:val="20"/>
        </w:rPr>
        <w:drawing>
          <wp:inline distT="0" distB="0" distL="0" distR="0">
            <wp:extent cx="5731510" cy="3661410"/>
            <wp:effectExtent l="0" t="0" r="0" b="0"/>
            <wp:docPr id="92935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51235" name="Picture 9293512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BDE" w:rsidRDefault="00000000">
      <w:pPr>
        <w:pBdr>
          <w:bottom w:val="single" w:sz="4" w:space="0" w:color="BBCCEE"/>
        </w:pBdr>
        <w:shd w:val="clear" w:color="auto" w:fill="F0F4FF"/>
        <w:spacing w:after="100"/>
        <w:jc w:val="center"/>
      </w:pPr>
      <w:r>
        <w:rPr>
          <w:b/>
          <w:bCs/>
          <w:color w:val="444444"/>
          <w:sz w:val="20"/>
          <w:szCs w:val="20"/>
        </w:rPr>
        <w:t xml:space="preserve">Fig. 1.  </w:t>
      </w:r>
      <w:r>
        <w:rPr>
          <w:color w:val="444444"/>
          <w:sz w:val="20"/>
          <w:szCs w:val="20"/>
        </w:rPr>
        <w:t>Three phase structures coexisting in a single 2π cycle. Olive: thermal energy Te₁ ∝ cos⁴(θ/2) (period π). Orange: photon-sphere kinetic energy T ∝ sin²θ (period 2π, max = 0.5). Blue dashed: Thomas angular velocity Ω_T ∝ ½ sin(2θ) (spinorial period 4π, max = 0.5). Spin-up state: θ ∈ [0, π); spin-down state: θ ∈ (π, 2π].</w:t>
      </w:r>
    </w:p>
    <w:p w:rsidR="00A02BDE" w:rsidRDefault="00A02BDE">
      <w:pPr>
        <w:spacing w:before="160"/>
      </w:pPr>
    </w:p>
    <w:p w:rsidR="00A02BDE" w:rsidRDefault="00A02BDE">
      <w:pPr>
        <w:spacing w:before="220"/>
      </w:pPr>
    </w:p>
    <w:p w:rsidR="00A02BDE" w:rsidRDefault="00000000">
      <w:pPr>
        <w:pStyle w:val="Heading1"/>
        <w:pBdr>
          <w:bottom w:val="single" w:sz="8" w:space="6" w:color="000000"/>
        </w:pBdr>
      </w:pPr>
      <w:r>
        <w:t>2.  The U(1) Fiber Bundle Emerges from Internal Periodicity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U(1) principal fiber bundle is not postulated. It is derived from the internal dynamics through a four-step logical chain.</w:t>
      </w:r>
    </w:p>
    <w:p w:rsidR="00A02BDE" w:rsidRDefault="00A02BDE">
      <w:pPr>
        <w:spacing w:before="160"/>
      </w:pPr>
    </w:p>
    <w:p w:rsidR="00A02BDE" w:rsidRDefault="00000000">
      <w:pPr>
        <w:pStyle w:val="Heading2"/>
        <w:pBdr>
          <w:bottom w:val="single" w:sz="4" w:space="4" w:color="DDDDDD"/>
        </w:pBdr>
      </w:pPr>
      <w:r>
        <w:t>Step 1  —  The 2π Period Is Uniquely Selected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kinetic energy T(θ) = (E₀/2) sin²θ has period π as a scalar. However, the single-valuedness requirement on the quantum state |ψ(θ)⟩ is more restrictive. Spin-½ geometry rules out π (too short) and 4π (the full spinor period), selecting 2π as the unique minimum period. This is Lemma IV.1 of the paper.</w:t>
      </w:r>
    </w:p>
    <w:p w:rsidR="00A02BDE" w:rsidRDefault="00A02BDE">
      <w:pPr>
        <w:spacing w:before="160"/>
      </w:pPr>
    </w:p>
    <w:p w:rsidR="00A02BDE" w:rsidRDefault="00992EE8">
      <w:pPr>
        <w:pBdr>
          <w:top w:val="single" w:sz="4" w:space="0" w:color="BBCCEE"/>
          <w:bottom w:val="none" w:sz="0" w:space="0" w:color="FFFFFF"/>
        </w:pBdr>
        <w:shd w:val="clear" w:color="auto" w:fill="F0F4FF"/>
        <w:spacing w:before="100"/>
        <w:jc w:val="center"/>
      </w:pPr>
      <w:r>
        <w:rPr>
          <w:b/>
          <w:bCs/>
          <w:noProof/>
          <w:color w:val="003D82"/>
          <w:sz w:val="20"/>
          <w:szCs w:val="20"/>
        </w:rPr>
        <w:lastRenderedPageBreak/>
        <w:drawing>
          <wp:inline distT="0" distB="0" distL="0" distR="0">
            <wp:extent cx="5410200" cy="6527800"/>
            <wp:effectExtent l="0" t="0" r="0" b="0"/>
            <wp:docPr id="1194381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81990" name="Picture 11943819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BDE" w:rsidRDefault="00000000">
      <w:pPr>
        <w:pBdr>
          <w:bottom w:val="single" w:sz="4" w:space="0" w:color="BBCCEE"/>
        </w:pBdr>
        <w:shd w:val="clear" w:color="auto" w:fill="F0F4FF"/>
        <w:spacing w:after="100"/>
        <w:jc w:val="center"/>
      </w:pPr>
      <w:r>
        <w:rPr>
          <w:b/>
          <w:bCs/>
          <w:color w:val="444444"/>
          <w:sz w:val="20"/>
          <w:szCs w:val="20"/>
        </w:rPr>
        <w:t xml:space="preserve">Fig. 2.  </w:t>
      </w:r>
      <w:r>
        <w:rPr>
          <w:color w:val="444444"/>
          <w:sz w:val="20"/>
          <w:szCs w:val="20"/>
        </w:rPr>
        <w:t>Two interpretations of spin-state assignment from Ω_T over θ ∈ [0, 2π]. (a) Thermodynamic classification (adopted in this paper): spin-up for θ ∈ [0, π), spin-down for θ ∈ (π, 2π]. (b) Kinematic classification (open alternative): spin state assigned by sgn(Ω_T), placing one complete up/down cycle within each kernel transit. The 2:1 frequency ratio directly manifests 4π/2π = 2 (SU(2) vs. SO(3)).</w:t>
      </w:r>
    </w:p>
    <w:p w:rsidR="00A02BDE" w:rsidRDefault="00A02BDE">
      <w:pPr>
        <w:spacing w:before="160"/>
      </w:pPr>
    </w:p>
    <w:p w:rsidR="00A02BDE" w:rsidRDefault="00A02BDE">
      <w:pPr>
        <w:spacing w:before="160"/>
      </w:pPr>
    </w:p>
    <w:p w:rsidR="00A02BDE" w:rsidRDefault="00000000">
      <w:pPr>
        <w:pStyle w:val="Heading2"/>
        <w:pBdr>
          <w:bottom w:val="single" w:sz="4" w:space="4" w:color="DDDDDD"/>
        </w:pBdr>
      </w:pPr>
      <w:r>
        <w:t>Step 2  —  A Circle Defines a Bundle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lastRenderedPageBreak/>
        <w:t>Once θ ∈ [0, 2π) is identified as a 2π-periodic variable, it parametrises a circle S¹. The residual complex phase degree of freedom e^{iφ} at each point θ constitutes the fiber. Together they define the principal U(1) bundle:</w:t>
      </w:r>
    </w:p>
    <w:p w:rsidR="00A02BDE" w:rsidRDefault="00A02BDE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6601"/>
      </w:tblGrid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Bundle Element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Base space  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S¹ ≅ ℝ/(2πℤ)   —   the θ parameter space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Fiber  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U(1) = { e^{iφ} | φ ∈ ℝ }   —   complex phase freedom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Total space  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S¹ × U(1)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Projection  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π : (θ, e^{iφ}) ↦ θ</w:t>
            </w:r>
          </w:p>
        </w:tc>
      </w:tr>
    </w:tbl>
    <w:p w:rsidR="00A02BDE" w:rsidRDefault="00A02BDE">
      <w:pPr>
        <w:spacing w:before="80"/>
      </w:pPr>
    </w:p>
    <w:p w:rsidR="00A02BDE" w:rsidRDefault="00000000">
      <w:pPr>
        <w:pBdr>
          <w:left w:val="thick" w:sz="20" w:space="12" w:color="003D82"/>
        </w:pBdr>
        <w:shd w:val="clear" w:color="auto" w:fill="F5F5F5"/>
        <w:spacing w:before="120" w:after="120" w:line="340" w:lineRule="auto"/>
        <w:ind w:left="480" w:right="360"/>
      </w:pPr>
      <w:r>
        <w:rPr>
          <w:rFonts w:ascii="Times New Roman" w:eastAsia="Times New Roman" w:hAnsi="Times New Roman" w:cs="Times New Roman"/>
          <w:b/>
          <w:bCs/>
          <w:color w:val="003D82"/>
        </w:rPr>
        <w:t xml:space="preserve">Key point  </w:t>
      </w:r>
      <w:r>
        <w:rPr>
          <w:color w:val="1A1A1A"/>
        </w:rPr>
        <w:t>This bundle is not an external gauge assumption. It is a geometric consequence of the dynamical period — the internal oscillation induces it necessarily.</w:t>
      </w:r>
    </w:p>
    <w:p w:rsidR="00A02BDE" w:rsidRDefault="00A02BDE">
      <w:pPr>
        <w:spacing w:before="160"/>
      </w:pPr>
    </w:p>
    <w:p w:rsidR="00A02BDE" w:rsidRDefault="00000000">
      <w:pPr>
        <w:pStyle w:val="Heading2"/>
        <w:pBdr>
          <w:bottom w:val="single" w:sz="4" w:space="4" w:color="DDDDDD"/>
        </w:pBdr>
      </w:pPr>
      <w:r>
        <w:t>Step 3  —  The Berry Connection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A U(1) bundle over S¹ admits a connection 1-form, the Berry connection:</w:t>
      </w:r>
    </w:p>
    <w:p w:rsidR="00A02BDE" w:rsidRDefault="00A02BDE">
      <w:pPr>
        <w:spacing w:before="60"/>
      </w:pPr>
    </w:p>
    <w:p w:rsidR="00A02BDE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 xml:space="preserve">(θ) := </m:t>
          </m:r>
          <m:d>
            <m:dPr>
              <m:begChr m:val="〈"/>
              <m:endChr m:val="〉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ψ(θ) | i∂_θ | ψ(θ)</m:t>
              </m:r>
            </m:e>
          </m:d>
        </m:oMath>
      </m:oMathPara>
    </w:p>
    <w:p w:rsidR="00A02BDE" w:rsidRDefault="00A02BDE">
      <w:pPr>
        <w:spacing w:before="40"/>
      </w:pP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Evaluating in the complex gauge representation yields:</w:t>
      </w:r>
    </w:p>
    <w:p w:rsidR="00A02BDE" w:rsidRDefault="00A02BDE">
      <w:pPr>
        <w:spacing w:before="60"/>
      </w:pPr>
    </w:p>
    <w:p w:rsidR="00A02BDE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 xml:space="preserve">(θ)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cos θ</m:t>
          </m:r>
        </m:oMath>
      </m:oMathPara>
    </w:p>
    <w:p w:rsidR="00A02BDE" w:rsidRDefault="00A02BDE">
      <w:pPr>
        <w:spacing w:before="160"/>
      </w:pPr>
    </w:p>
    <w:p w:rsidR="00A02BDE" w:rsidRDefault="00000000">
      <w:pPr>
        <w:pStyle w:val="Heading2"/>
        <w:pBdr>
          <w:bottom w:val="single" w:sz="4" w:space="4" w:color="DDDDDD"/>
        </w:pBdr>
      </w:pPr>
      <w:r>
        <w:t>Step 4  —  The Holonomy γ = π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Integrating around the closed base circle, the real-gauge representative |ψ(2π)⟩ = −|ψ(0)⟩ contributes a boundary term. The total Berry phase is:</w:t>
      </w:r>
    </w:p>
    <w:p w:rsidR="00A02BDE" w:rsidRDefault="00A02BDE">
      <w:pPr>
        <w:spacing w:before="60"/>
      </w:pPr>
    </w:p>
    <w:p w:rsidR="00A02BDE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intrinsic</m:t>
              </m:r>
            </m:sub>
          </m:sSub>
          <m:r>
            <w:rPr>
              <w:rFonts w:ascii="Cambria Math" w:hAnsi="Cambria Math"/>
            </w:rPr>
            <m:t xml:space="preserve"> = 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S¹</m:t>
              </m:r>
            </m:sub>
            <m:sup/>
            <m:e>
              <m:r>
                <w:rPr>
                  <w:rFonts w:ascii="Cambria Math" w:hAnsi="Cambria Math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 xml:space="preserve"> dθ </m:t>
              </m:r>
            </m:e>
          </m:nary>
          <m:r>
            <w:rPr>
              <w:rFonts w:ascii="Cambria Math" w:hAnsi="Cambria Math"/>
            </w:rPr>
            <m:t xml:space="preserve"> + arg </m:t>
          </m:r>
          <m:d>
            <m:dPr>
              <m:begChr m:val="〈"/>
              <m:endChr m:val="〉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ψ(0) | ψ(2π)</m:t>
              </m:r>
            </m:e>
          </m:d>
          <m:r>
            <w:rPr>
              <w:rFonts w:ascii="Cambria Math" w:hAnsi="Cambria Math"/>
            </w:rPr>
            <m:t xml:space="preserve"> = 0 + π = π</m:t>
          </m:r>
        </m:oMath>
      </m:oMathPara>
    </w:p>
    <w:p w:rsidR="00A02BDE" w:rsidRDefault="00A02BDE">
      <w:pPr>
        <w:spacing w:before="60"/>
      </w:pP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Equivalently, from the solid angle of the equatorial Bloch sphere trajectory:</w:t>
      </w:r>
    </w:p>
    <w:p w:rsidR="00A02BDE" w:rsidRDefault="00A02BDE">
      <w:pPr>
        <w:spacing w:before="60"/>
      </w:pPr>
    </w:p>
    <w:p w:rsidR="00A02BDE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intrinsic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= π</m:t>
          </m:r>
        </m:oMath>
      </m:oMathPara>
    </w:p>
    <w:p w:rsidR="00A02BDE" w:rsidRDefault="00A02BDE">
      <w:pPr>
        <w:spacing w:before="60"/>
      </w:pP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equatorial great circle encloses a solid angle Ω = 2π sr. The spin-½ geometric factor of ½ yields γ = π.</w:t>
      </w:r>
    </w:p>
    <w:p w:rsidR="00A02BDE" w:rsidRDefault="00A02BDE">
      <w:pPr>
        <w:spacing w:before="220"/>
      </w:pPr>
    </w:p>
    <w:p w:rsidR="00A02BDE" w:rsidRDefault="00000000">
      <w:pPr>
        <w:pStyle w:val="Heading1"/>
        <w:pBdr>
          <w:bottom w:val="single" w:sz="8" w:space="6" w:color="000000"/>
        </w:pBdr>
      </w:pPr>
      <w:r>
        <w:t>3.  g = 2 Is a Geometric Theorem</w:t>
      </w:r>
    </w:p>
    <w:p w:rsidR="00A02BDE" w:rsidRDefault="00000000">
      <w:pPr>
        <w:pStyle w:val="Heading2"/>
        <w:pBdr>
          <w:bottom w:val="single" w:sz="4" w:space="4" w:color="DDDDDD"/>
        </w:pBdr>
      </w:pPr>
      <w:r>
        <w:t>3-1  Geometric Definition of the g-Factor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paper defines the g-factor geometrically as the ratio of Berry holonomy per cycle to π:</w:t>
      </w:r>
    </w:p>
    <w:p w:rsidR="00A02BDE" w:rsidRDefault="00A02BDE">
      <w:pPr>
        <w:spacing w:before="60"/>
      </w:pPr>
    </w:p>
    <w:p w:rsidR="00A02BDE" w:rsidRDefault="00000000">
      <w:pPr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 xml:space="preserve">g :=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2γ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:rsidR="00A02BDE" w:rsidRDefault="00A02BDE">
      <w:pPr>
        <w:spacing w:before="160"/>
      </w:pPr>
    </w:p>
    <w:p w:rsidR="00A02BDE" w:rsidRDefault="00000000">
      <w:pPr>
        <w:pStyle w:val="Heading2"/>
        <w:pBdr>
          <w:bottom w:val="single" w:sz="4" w:space="4" w:color="DDDDDD"/>
        </w:pBdr>
      </w:pPr>
      <w:r>
        <w:t>3-2  The Theorem and Its Proof</w:t>
      </w:r>
    </w:p>
    <w:p w:rsidR="00A02BDE" w:rsidRDefault="00000000">
      <w:pPr>
        <w:pBdr>
          <w:top w:val="single" w:sz="8" w:space="0" w:color="003D82"/>
          <w:left w:val="thick" w:sz="24" w:space="0" w:color="003D82"/>
        </w:pBdr>
        <w:shd w:val="clear" w:color="auto" w:fill="EEF3FA"/>
        <w:spacing w:before="160"/>
        <w:ind w:left="480" w:right="360"/>
      </w:pPr>
      <w:r>
        <w:rPr>
          <w:rFonts w:ascii="Times New Roman" w:eastAsia="Times New Roman" w:hAnsi="Times New Roman" w:cs="Times New Roman"/>
          <w:b/>
          <w:bCs/>
          <w:color w:val="003D82"/>
        </w:rPr>
        <w:t>Theorem (g = 2 as Geometric Necessity)</w:t>
      </w:r>
    </w:p>
    <w:p w:rsidR="00A02BDE" w:rsidRDefault="00000000">
      <w:pPr>
        <w:shd w:val="clear" w:color="auto" w:fill="EEF3FA"/>
        <w:spacing w:before="80" w:after="80"/>
        <w:ind w:left="480" w:right="360"/>
      </w:pPr>
      <w:r>
        <w:rPr>
          <w:color w:val="1A1A1A"/>
        </w:rPr>
        <w:t>In the center-of-mass (proper-time) frame, the Berry holonomy is γ_intrinsic = π. Substituting into the geometric definition:</w:t>
      </w:r>
    </w:p>
    <w:p w:rsidR="00A02BDE" w:rsidRDefault="00000000">
      <w:pPr>
        <w:shd w:val="clear" w:color="auto" w:fill="EEF3FA"/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 × π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 xml:space="preserve"> = 2</m:t>
          </m:r>
        </m:oMath>
      </m:oMathPara>
    </w:p>
    <w:p w:rsidR="00A02BDE" w:rsidRDefault="00000000">
      <w:pPr>
        <w:pBdr>
          <w:bottom w:val="single" w:sz="8" w:space="0" w:color="003D82"/>
        </w:pBdr>
        <w:shd w:val="clear" w:color="auto" w:fill="EEF3FA"/>
        <w:spacing w:before="80" w:after="160"/>
        <w:ind w:left="480" w:right="360"/>
      </w:pPr>
      <w:r>
        <w:rPr>
          <w:i/>
          <w:iCs/>
          <w:color w:val="666666"/>
        </w:rPr>
        <w:t>This is an exact value, free of perturbative corrections, and topologically protected against continuous deformations of the internal path.   □</w:t>
      </w:r>
    </w:p>
    <w:p w:rsidR="00A02BDE" w:rsidRDefault="00A02BDE">
      <w:pPr>
        <w:spacing w:before="100"/>
      </w:pPr>
    </w:p>
    <w:p w:rsidR="00A02BDE" w:rsidRDefault="00000000">
      <w:pPr>
        <w:spacing w:before="200" w:after="80"/>
      </w:pPr>
      <w:r>
        <w:rPr>
          <w:b/>
          <w:bCs/>
          <w:color w:val="444444"/>
        </w:rPr>
        <w:t>Proof sketch</w:t>
      </w:r>
    </w:p>
    <w:p w:rsidR="00A02BD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Internal oscillation has 2π periodicity  →  U(1) principal bundle is induced</w:t>
      </w:r>
    </w:p>
    <w:p w:rsidR="00A02BD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Berry connection computed  →  holonomy γ_intrinsic = π (boundary term included)</w:t>
      </w:r>
    </w:p>
    <w:p w:rsidR="00A02BD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Geometric definition g := 2γ/π applied  →  g_CM = 2</w:t>
      </w:r>
    </w:p>
    <w:p w:rsidR="00A02BDE" w:rsidRDefault="00A02BDE">
      <w:pPr>
        <w:spacing w:before="80"/>
      </w:pPr>
    </w:p>
    <w:p w:rsidR="00A02BDE" w:rsidRDefault="00000000">
      <w:pPr>
        <w:pBdr>
          <w:left w:val="thick" w:sz="20" w:space="12" w:color="003D82"/>
        </w:pBdr>
        <w:shd w:val="clear" w:color="auto" w:fill="F5F5F5"/>
        <w:spacing w:before="120" w:after="120" w:line="340" w:lineRule="auto"/>
        <w:ind w:left="480" w:right="360"/>
      </w:pPr>
      <w:r>
        <w:rPr>
          <w:rFonts w:ascii="Times New Roman" w:eastAsia="Times New Roman" w:hAnsi="Times New Roman" w:cs="Times New Roman"/>
          <w:b/>
          <w:bCs/>
          <w:color w:val="003D82"/>
        </w:rPr>
        <w:t xml:space="preserve">Topological protection  </w:t>
      </w:r>
      <w:r>
        <w:rPr>
          <w:color w:val="1A1A1A"/>
        </w:rPr>
        <w:t>The holonomy is gauge-invariant: under any gauge transformation, the additional term ∮ ∂_θ α dθ = 0 on a closed loop. No choice of gauge representative can alter γ = π. This is what it means for g = 2 to be topologically protected.</w:t>
      </w:r>
    </w:p>
    <w:p w:rsidR="00A02BDE" w:rsidRDefault="00A02BDE">
      <w:pPr>
        <w:spacing w:before="160"/>
      </w:pPr>
    </w:p>
    <w:p w:rsidR="00A02BDE" w:rsidRDefault="00992EE8">
      <w:pPr>
        <w:pBdr>
          <w:top w:val="single" w:sz="4" w:space="0" w:color="BBCCEE"/>
          <w:bottom w:val="none" w:sz="0" w:space="0" w:color="FFFFFF"/>
        </w:pBdr>
        <w:shd w:val="clear" w:color="auto" w:fill="F0F4FF"/>
        <w:spacing w:before="100"/>
        <w:jc w:val="center"/>
      </w:pPr>
      <w:r>
        <w:rPr>
          <w:b/>
          <w:bCs/>
          <w:noProof/>
          <w:color w:val="003D82"/>
          <w:sz w:val="20"/>
          <w:szCs w:val="20"/>
        </w:rPr>
        <w:lastRenderedPageBreak/>
        <w:drawing>
          <wp:inline distT="0" distB="0" distL="0" distR="0">
            <wp:extent cx="2628900" cy="3200400"/>
            <wp:effectExtent l="0" t="0" r="0" b="0"/>
            <wp:docPr id="12469645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64553" name="Picture 12469645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BDE" w:rsidRDefault="00000000">
      <w:pPr>
        <w:pBdr>
          <w:bottom w:val="single" w:sz="4" w:space="0" w:color="BBCCEE"/>
        </w:pBdr>
        <w:shd w:val="clear" w:color="auto" w:fill="F0F4FF"/>
        <w:spacing w:after="100"/>
        <w:jc w:val="center"/>
      </w:pPr>
      <w:r>
        <w:rPr>
          <w:b/>
          <w:bCs/>
          <w:color w:val="444444"/>
          <w:sz w:val="20"/>
          <w:szCs w:val="20"/>
        </w:rPr>
        <w:t xml:space="preserve">Fig. 3.  </w:t>
      </w:r>
      <w:r>
        <w:rPr>
          <w:color w:val="444444"/>
          <w:sz w:val="20"/>
          <w:szCs w:val="20"/>
        </w:rPr>
        <w:t>Equatorial trajectory on the Bloch sphere. The red path traces θ: 0 → 2π along the great circle. The shaded northern hemisphere subtends solid angle Ω = 2π sr. The Berry phase γ_intrinsic = Ω/2 = π is the holonomy of this closed path, geometrically necessitating g_CM = 2 exactly in the proper-time frame.</w:t>
      </w:r>
    </w:p>
    <w:p w:rsidR="00A02BDE" w:rsidRDefault="00A02BDE">
      <w:pPr>
        <w:spacing w:before="160"/>
      </w:pPr>
    </w:p>
    <w:p w:rsidR="00A02BDE" w:rsidRDefault="00A02BDE">
      <w:pPr>
        <w:spacing w:before="220"/>
      </w:pPr>
    </w:p>
    <w:p w:rsidR="00A02BDE" w:rsidRDefault="00000000">
      <w:pPr>
        <w:pStyle w:val="Heading1"/>
        <w:pBdr>
          <w:bottom w:val="single" w:sz="8" w:space="6" w:color="000000"/>
        </w:pBdr>
      </w:pPr>
      <w:r>
        <w:t>4.  The Laboratory Frame and the Anomalous Magnetic Moment</w:t>
      </w:r>
    </w:p>
    <w:p w:rsidR="00A02BDE" w:rsidRDefault="00000000">
      <w:pPr>
        <w:pStyle w:val="Heading2"/>
        <w:pBdr>
          <w:bottom w:val="single" w:sz="4" w:space="4" w:color="DDDDDD"/>
        </w:pBdr>
      </w:pPr>
      <w:r>
        <w:t>4-1  Dual-Frame Structure: The Foucault Analogy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proper-time frame and the laboratory frame perceive the internal phase cycle differently. This difference is the geometric origin of g − 2.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Foucault pendulum provides a classical prototype: at the equator, no precession occurs; at higher latitudes, the pendulum's plane appears to rotate. The correspondence is precise:</w:t>
      </w:r>
    </w:p>
    <w:p w:rsidR="00A02BDE" w:rsidRDefault="00A02BDE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4"/>
        <w:gridCol w:w="5226"/>
      </w:tblGrid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Foucault Pendulum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0-Sphere Model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Equator  (φ = 0)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Center-of-mass frame (proper time)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Zero precession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γ_intrinsic = π,  g_CM = 2 exactly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Geographic latitude  φ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Lorentz boost magnitude  v_ZB/c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lastRenderedPageBreak/>
              <w:t>Small latitude  φ ≪ 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Small correction  a_e ≈ 0.00116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Precession angle  2π sin φ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Anomalous Berry phase  γ_anomalous</w:t>
            </w:r>
          </w:p>
        </w:tc>
      </w:tr>
    </w:tbl>
    <w:p w:rsidR="00A02BDE" w:rsidRDefault="00A02BDE">
      <w:pPr>
        <w:spacing w:before="160"/>
      </w:pPr>
    </w:p>
    <w:p w:rsidR="00A02BDE" w:rsidRDefault="00000000">
      <w:pPr>
        <w:pStyle w:val="Heading2"/>
        <w:pBdr>
          <w:bottom w:val="single" w:sz="4" w:space="4" w:color="DDDDDD"/>
        </w:pBdr>
      </w:pPr>
      <w:r>
        <w:t>4-2  Phase Decomposition in the Laboratory Frame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total Berry phase in the laboratory frame decomposes as:</w:t>
      </w:r>
    </w:p>
    <w:p w:rsidR="00A02BDE" w:rsidRDefault="00A02BDE">
      <w:pPr>
        <w:spacing w:before="60"/>
      </w:pPr>
    </w:p>
    <w:p w:rsidR="00A02BDE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intrinsic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anomalous</m:t>
              </m:r>
            </m:sub>
          </m:sSub>
          <m:r>
            <w:rPr>
              <w:rFonts w:ascii="Cambria Math" w:hAnsi="Cambria Math"/>
            </w:rPr>
            <m:t xml:space="preserve"> = π + a · 2π</m:t>
          </m:r>
        </m:oMath>
      </m:oMathPara>
    </w:p>
    <w:p w:rsidR="00A02BDE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lab</m:t>
              </m:r>
            </m:sub>
          </m:sSub>
          <m:r>
            <w:rPr>
              <w:rFonts w:ascii="Cambria Math" w:hAnsi="Cambria Math"/>
            </w:rPr>
            <m:t xml:space="preserve"> = 2(1 + a),    a :=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anomalous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</m:oMath>
      </m:oMathPara>
    </w:p>
    <w:p w:rsidR="00A02BDE" w:rsidRDefault="00A02BDE">
      <w:pPr>
        <w:spacing w:before="160"/>
      </w:pPr>
    </w:p>
    <w:p w:rsidR="00A02BDE" w:rsidRDefault="00000000">
      <w:pPr>
        <w:pStyle w:val="Heading2"/>
        <w:pBdr>
          <w:bottom w:val="single" w:sz="4" w:space="4" w:color="DDDDDD"/>
        </w:pBdr>
      </w:pPr>
      <w:r>
        <w:t>4-3  The Arc-Length Argument: Recovering v_ZB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If rotational Lorentz contraction shortens the internal orbital arc 2πr by the factor 1/(1 + a_e), the Zitterbewegung velocity can be recovered by inverse calculation:</w:t>
      </w:r>
    </w:p>
    <w:p w:rsidR="00A02BDE" w:rsidRDefault="00A02BDE">
      <w:pPr>
        <w:spacing w:before="60"/>
      </w:pPr>
    </w:p>
    <w:p w:rsidR="00A02BDE" w:rsidRDefault="00000000">
      <w:pPr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1 - 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ZB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 xml:space="preserve"> = 1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:rsidR="00A02BDE" w:rsidRDefault="00A02BDE">
      <w:pPr>
        <w:spacing w:before="60"/>
      </w:pP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This yields v_ZB ≈ 0.04c — a value uniquely predicted by the structural identity γ_L = 1 + a_e from the experimentally measured a_e. Conversely, if v_ZB were measured independently, a_e would follow from the same identity.</w:t>
      </w:r>
    </w:p>
    <w:p w:rsidR="00A02BDE" w:rsidRDefault="00A02BDE">
      <w:pPr>
        <w:spacing w:before="80"/>
      </w:pPr>
    </w:p>
    <w:p w:rsidR="00A02BDE" w:rsidRDefault="00000000">
      <w:pPr>
        <w:pBdr>
          <w:left w:val="thick" w:sz="20" w:space="12" w:color="003D82"/>
        </w:pBdr>
        <w:shd w:val="clear" w:color="auto" w:fill="F5F5F5"/>
        <w:spacing w:before="120" w:after="120" w:line="340" w:lineRule="auto"/>
        <w:ind w:left="480" w:right="360"/>
      </w:pPr>
      <w:r>
        <w:rPr>
          <w:rFonts w:ascii="Times New Roman" w:eastAsia="Times New Roman" w:hAnsi="Times New Roman" w:cs="Times New Roman"/>
          <w:b/>
          <w:bCs/>
          <w:color w:val="003D82"/>
        </w:rPr>
        <w:t xml:space="preserve">Unification  </w:t>
      </w:r>
      <w:r>
        <w:rPr>
          <w:color w:val="1A1A1A"/>
        </w:rPr>
        <w:t>The anomalous magnetic moment a_e and the muon atmospheric lifetime extension are two manifestations of the same relativistic arc-length extension: in both cases, a length [L] is extended by the Lorentz factor γ_L of the relevant velocity. The structural mechanism is identical.</w:t>
      </w:r>
    </w:p>
    <w:p w:rsidR="00A02BDE" w:rsidRDefault="00000000">
      <w:pPr>
        <w:spacing w:before="80" w:after="80" w:line="340" w:lineRule="auto"/>
        <w:ind w:left="480" w:right="360"/>
      </w:pPr>
      <w:r>
        <w:rPr>
          <w:i/>
          <w:iCs/>
          <w:color w:val="666666"/>
          <w:sz w:val="20"/>
          <w:szCs w:val="20"/>
        </w:rPr>
        <w:t>To the author's knowledge, this structural identification has no precedent in the existing literature. The anomalous magnetic moment a_e and the muon lifetime extension are conventionally treated by entirely separate frameworks — QED radiative corrections for a_e, and special-relativistic time dilation for the muon lifetime — with no common geometric mechanism proposed. The present work identifies both as instances of the single identity ΔL = |γ_L − 1| × L₀, distinguished only in the magnitude of γ_L − 1.</w:t>
      </w:r>
    </w:p>
    <w:p w:rsidR="00A02BDE" w:rsidRDefault="00A02BDE">
      <w:pPr>
        <w:spacing w:before="160"/>
      </w:pPr>
    </w:p>
    <w:p w:rsidR="00A02BDE" w:rsidRDefault="00992EE8">
      <w:pPr>
        <w:pBdr>
          <w:top w:val="single" w:sz="4" w:space="0" w:color="BBCCEE"/>
          <w:bottom w:val="none" w:sz="0" w:space="0" w:color="FFFFFF"/>
        </w:pBdr>
        <w:shd w:val="clear" w:color="auto" w:fill="F0F4FF"/>
        <w:spacing w:before="100"/>
        <w:jc w:val="center"/>
      </w:pPr>
      <w:r>
        <w:rPr>
          <w:b/>
          <w:bCs/>
          <w:noProof/>
          <w:color w:val="003D82"/>
          <w:sz w:val="20"/>
          <w:szCs w:val="20"/>
        </w:rPr>
        <w:lastRenderedPageBreak/>
        <w:drawing>
          <wp:inline distT="0" distB="0" distL="0" distR="0">
            <wp:extent cx="5731510" cy="3355340"/>
            <wp:effectExtent l="0" t="0" r="0" b="0"/>
            <wp:docPr id="1793983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83545" name="Picture 17939835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BDE" w:rsidRDefault="00000000">
      <w:pPr>
        <w:pBdr>
          <w:bottom w:val="single" w:sz="4" w:space="0" w:color="BBCCEE"/>
        </w:pBdr>
        <w:shd w:val="clear" w:color="auto" w:fill="F0F4FF"/>
        <w:spacing w:after="100"/>
        <w:jc w:val="center"/>
      </w:pPr>
      <w:r>
        <w:rPr>
          <w:b/>
          <w:bCs/>
          <w:color w:val="444444"/>
          <w:sz w:val="20"/>
          <w:szCs w:val="20"/>
        </w:rPr>
        <w:t xml:space="preserve">Fig. 4.  </w:t>
      </w:r>
      <w:r>
        <w:rPr>
          <w:color w:val="444444"/>
          <w:sz w:val="20"/>
          <w:szCs w:val="20"/>
        </w:rPr>
        <w:t>Dual-frame Berry phase structure. Left (teal): in the center-of-mass frame, the orbit closes exactly at θ = 0 ≡ 2π, yielding γ_int = π and g_CM = 2, topologically protected. Right (orange): under Lorentz boost to the laboratory frame, the orbit overshoots by a · 2π (exaggerated for visibility), generating γ_anomalous and shifting g to 2(1 + a). Bottom strip: the unifying decomposition γ_total = π + a · 2π and the bridge equation γ_L = 1 + a_e.</w:t>
      </w:r>
    </w:p>
    <w:p w:rsidR="00A02BDE" w:rsidRDefault="00A02BDE">
      <w:pPr>
        <w:spacing w:before="160"/>
      </w:pPr>
    </w:p>
    <w:p w:rsidR="00A02BDE" w:rsidRDefault="00A02BDE">
      <w:pPr>
        <w:spacing w:before="220"/>
      </w:pPr>
    </w:p>
    <w:p w:rsidR="00A02BDE" w:rsidRDefault="00000000">
      <w:pPr>
        <w:pStyle w:val="Heading1"/>
        <w:pBdr>
          <w:bottom w:val="single" w:sz="8" w:space="6" w:color="000000"/>
        </w:pBdr>
      </w:pPr>
      <w:r>
        <w:t>5.  Hierarchical Phase Structure and Gauge Symmetry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Applying the spin-periodicity relation s = 2π/T to the three coexisting periodicities yields a numerical correspondence with the known gauge bosons:</w:t>
      </w:r>
    </w:p>
    <w:p w:rsidR="00A02BDE" w:rsidRDefault="00A02BDE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1456"/>
        <w:gridCol w:w="1268"/>
        <w:gridCol w:w="3867"/>
      </w:tblGrid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Phase Structure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Period 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Spin  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D8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Gauge Symmetry (tentative)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Half-angle  θ/2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Spin 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Gravity (graviton)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Normal angle  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2π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Spin 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Electromagnetism (photon)</w:t>
            </w:r>
          </w:p>
        </w:tc>
      </w:tr>
      <w:tr w:rsidR="00A02B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Double angle  2θ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4π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Spin ½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02BDE" w:rsidRDefault="00000000">
            <w:pPr>
              <w:spacing w:before="60" w:after="60"/>
            </w:pPr>
            <w:r>
              <w:rPr>
                <w:color w:val="1A1A1A"/>
                <w:sz w:val="20"/>
                <w:szCs w:val="20"/>
              </w:rPr>
              <w:t>Weak interaction (electron)</w:t>
            </w:r>
          </w:p>
        </w:tc>
      </w:tr>
    </w:tbl>
    <w:p w:rsidR="00A02BDE" w:rsidRDefault="00A02BDE">
      <w:pPr>
        <w:spacing w:before="60"/>
      </w:pPr>
    </w:p>
    <w:p w:rsidR="00A02BDE" w:rsidRDefault="00000000">
      <w:pPr>
        <w:spacing w:before="80" w:after="80" w:line="340" w:lineRule="auto"/>
        <w:ind w:left="480" w:right="360"/>
      </w:pPr>
      <w:r>
        <w:rPr>
          <w:i/>
          <w:iCs/>
          <w:color w:val="666666"/>
          <w:sz w:val="20"/>
          <w:szCs w:val="20"/>
        </w:rPr>
        <w:t>This correspondence is phenomenological — an exact numerical match, not a first-principles derivation. The paper presents it as a structural observation motivating future investigation, not as a completed theoretical result.</w:t>
      </w:r>
    </w:p>
    <w:p w:rsidR="00A02BDE" w:rsidRDefault="00A02BDE">
      <w:pPr>
        <w:spacing w:before="160"/>
      </w:pPr>
    </w:p>
    <w:p w:rsidR="00A02BDE" w:rsidRDefault="00992EE8">
      <w:pPr>
        <w:pBdr>
          <w:top w:val="single" w:sz="4" w:space="0" w:color="BBCCEE"/>
          <w:bottom w:val="none" w:sz="0" w:space="0" w:color="FFFFFF"/>
        </w:pBdr>
        <w:shd w:val="clear" w:color="auto" w:fill="F0F4FF"/>
        <w:spacing w:before="100"/>
        <w:jc w:val="center"/>
      </w:pPr>
      <w:r>
        <w:rPr>
          <w:b/>
          <w:bCs/>
          <w:noProof/>
          <w:color w:val="003D82"/>
          <w:sz w:val="20"/>
          <w:szCs w:val="20"/>
        </w:rPr>
        <w:lastRenderedPageBreak/>
        <w:drawing>
          <wp:inline distT="0" distB="0" distL="0" distR="0">
            <wp:extent cx="5549900" cy="3492500"/>
            <wp:effectExtent l="0" t="0" r="0" b="0"/>
            <wp:docPr id="614962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62304" name="Picture 6149623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BDE" w:rsidRDefault="00000000">
      <w:pPr>
        <w:pBdr>
          <w:bottom w:val="single" w:sz="4" w:space="0" w:color="BBCCEE"/>
        </w:pBdr>
        <w:shd w:val="clear" w:color="auto" w:fill="F0F4FF"/>
        <w:spacing w:after="100"/>
        <w:jc w:val="center"/>
      </w:pPr>
      <w:r>
        <w:rPr>
          <w:b/>
          <w:bCs/>
          <w:color w:val="444444"/>
          <w:sz w:val="20"/>
          <w:szCs w:val="20"/>
        </w:rPr>
        <w:t xml:space="preserve">Fig. 5.  </w:t>
      </w:r>
      <w:r>
        <w:rPr>
          <w:color w:val="444444"/>
          <w:sz w:val="20"/>
          <w:szCs w:val="20"/>
        </w:rPr>
        <w:t>Harmonic oscillator energy ladder reinterpreted in the 0-Sphere framework. The parabolic potential V(x) ∝ (Te₂ − Te₁) confines the photon sphere between Kernel A and Kernel B (separation Δx ∼ λ_C). The ground state n = 0 with energy ½ℏω is identified with the geometric minimum E₀/2 of the Hamiltonian identity — a deterministic structural floor, not a vacuum fluctuation. Upward transitions (yellow arrow) correspond to photon-sphere absorption; downward transitions (orange arrow) to ejection of a photon-sphere fragment.</w:t>
      </w:r>
    </w:p>
    <w:p w:rsidR="00A02BDE" w:rsidRDefault="00A02BDE">
      <w:pPr>
        <w:spacing w:before="160"/>
      </w:pPr>
    </w:p>
    <w:p w:rsidR="00A02BDE" w:rsidRDefault="00A02BDE">
      <w:pPr>
        <w:spacing w:before="220"/>
      </w:pPr>
    </w:p>
    <w:p w:rsidR="00A02BDE" w:rsidRDefault="00000000">
      <w:pPr>
        <w:pStyle w:val="Heading1"/>
        <w:pBdr>
          <w:bottom w:val="single" w:sz="8" w:space="6" w:color="000000"/>
        </w:pBdr>
      </w:pPr>
      <w:r>
        <w:t>6.  Summary</w:t>
      </w:r>
    </w:p>
    <w:p w:rsidR="00A02BDE" w:rsidRDefault="00000000">
      <w:pPr>
        <w:pBdr>
          <w:left w:val="thick" w:sz="20" w:space="12" w:color="003D82"/>
        </w:pBdr>
        <w:shd w:val="clear" w:color="auto" w:fill="F5F5F5"/>
        <w:spacing w:before="120" w:after="120" w:line="340" w:lineRule="auto"/>
        <w:ind w:left="480" w:right="360"/>
      </w:pPr>
      <w:r>
        <w:rPr>
          <w:rFonts w:ascii="Times New Roman" w:eastAsia="Times New Roman" w:hAnsi="Times New Roman" w:cs="Times New Roman"/>
          <w:b/>
          <w:bCs/>
          <w:color w:val="003D82"/>
        </w:rPr>
        <w:t xml:space="preserve">Conclusion  </w:t>
      </w:r>
      <w:r>
        <w:rPr>
          <w:color w:val="1A1A1A"/>
        </w:rPr>
        <w:t>The internal 2π oscillation of the 0-Sphere electron induces a U(1) principal bundle. Its Berry holonomy γ = π, via the geometric definition g := 2γ/π, delivers g_CM = 2 as a topologically protected theorem. A Lorentz boost to the laboratory frame generates the anomalous Berry phase γ_anomalous, yielding g_lab = 2(1 + a). The arc-length argument identifies this structure as algebraically identical to the muon lifetime extension.</w:t>
      </w:r>
    </w:p>
    <w:p w:rsidR="00A02BDE" w:rsidRDefault="00A02BDE">
      <w:pPr>
        <w:spacing w:before="100"/>
      </w:pPr>
    </w:p>
    <w:p w:rsidR="00A02BDE" w:rsidRDefault="00000000">
      <w:pPr>
        <w:spacing w:before="60" w:after="120" w:line="360" w:lineRule="auto"/>
      </w:pPr>
      <w:r>
        <w:rPr>
          <w:b/>
          <w:bCs/>
          <w:color w:val="1A1A1A"/>
        </w:rPr>
        <w:t>What this paper establishes:</w:t>
      </w:r>
    </w:p>
    <w:p w:rsidR="00A02BDE" w:rsidRDefault="00A02BDE">
      <w:pPr>
        <w:spacing w:before="60"/>
      </w:pPr>
    </w:p>
    <w:p w:rsidR="00A02BD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g = 2 formulated as a geometric theorem, not a substituted numerical value</w:t>
      </w:r>
    </w:p>
    <w:p w:rsidR="00A02BD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The anomalous magnetic moment a_e located as a dual-frame Berry phase displacement</w:t>
      </w:r>
    </w:p>
    <w:p w:rsidR="00A02BD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a_e and the muon lifetime extension identified as two faces of the same relativistic arc-length structure</w:t>
      </w:r>
    </w:p>
    <w:p w:rsidR="00A02BD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lastRenderedPageBreak/>
        <w:t>Three coexisting periodicities (π, 2π, 4π) structurally matched to spin-2, 1, ½ gauge bosons</w:t>
      </w:r>
    </w:p>
    <w:p w:rsidR="00A02BDE" w:rsidRDefault="00A02BDE">
      <w:pPr>
        <w:spacing w:before="80"/>
      </w:pPr>
    </w:p>
    <w:p w:rsidR="00A02BDE" w:rsidRDefault="00000000">
      <w:pPr>
        <w:spacing w:before="60" w:after="120" w:line="360" w:lineRule="auto"/>
      </w:pPr>
      <w:r>
        <w:rPr>
          <w:b/>
          <w:bCs/>
          <w:color w:val="1A1A1A"/>
        </w:rPr>
        <w:t>Predictive identity:</w:t>
      </w:r>
    </w:p>
    <w:p w:rsidR="00A02BDE" w:rsidRDefault="00000000">
      <w:pPr>
        <w:spacing w:before="60" w:after="120" w:line="360" w:lineRule="auto"/>
        <w:ind w:firstLine="360"/>
      </w:pPr>
      <w:r>
        <w:rPr>
          <w:color w:val="1A1A1A"/>
        </w:rPr>
        <w:t>The equation γ_L = 1 + a_e is a structural identity, not an open conjecture. Starting from the experimentally measured a_e, v_ZB ≈ 0.04c is uniquely predicted. Conversely, if v_ZB were measured independently, a_e would follow from the same identity. The two phenomena — anomalous magnetic moment and muon lifetime extension — are two faces of the single arc-length identity ΔL = |γ_L − 1| × L₀.</w:t>
      </w:r>
    </w:p>
    <w:p w:rsidR="00A02BDE" w:rsidRDefault="00A02BDE">
      <w:pPr>
        <w:spacing w:before="200"/>
      </w:pPr>
    </w:p>
    <w:p w:rsidR="00A02BDE" w:rsidRDefault="00000000">
      <w:pPr>
        <w:pBdr>
          <w:top w:val="single" w:sz="4" w:space="0" w:color="DDDDDD"/>
        </w:pBdr>
        <w:spacing w:before="200" w:after="80"/>
      </w:pPr>
      <w:r>
        <w:rPr>
          <w:color w:val="666666"/>
          <w:sz w:val="18"/>
          <w:szCs w:val="18"/>
        </w:rPr>
        <w:t xml:space="preserve">0-Sphere Model Papers   |   Satoshi Hanamura   |   2026   |   </w:t>
      </w:r>
      <w:r>
        <w:rPr>
          <w:i/>
          <w:iCs/>
          <w:color w:val="666666"/>
          <w:sz w:val="18"/>
          <w:szCs w:val="18"/>
        </w:rPr>
        <w:t>Supplementary Conceptual Overview  —  Zenodo Archive</w:t>
      </w:r>
    </w:p>
    <w:sectPr w:rsidR="00A02BD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36A47"/>
    <w:multiLevelType w:val="hybridMultilevel"/>
    <w:tmpl w:val="F72A92FE"/>
    <w:lvl w:ilvl="0" w:tplc="C33EB4FC">
      <w:start w:val="1"/>
      <w:numFmt w:val="decimal"/>
      <w:lvlText w:val="%1."/>
      <w:lvlJc w:val="left"/>
      <w:pPr>
        <w:ind w:left="640" w:hanging="320"/>
      </w:pPr>
    </w:lvl>
    <w:lvl w:ilvl="1" w:tplc="CD26C75C">
      <w:numFmt w:val="decimal"/>
      <w:lvlText w:val=""/>
      <w:lvlJc w:val="left"/>
    </w:lvl>
    <w:lvl w:ilvl="2" w:tplc="8FCAB970">
      <w:numFmt w:val="decimal"/>
      <w:lvlText w:val=""/>
      <w:lvlJc w:val="left"/>
    </w:lvl>
    <w:lvl w:ilvl="3" w:tplc="80ACCDD6">
      <w:numFmt w:val="decimal"/>
      <w:lvlText w:val=""/>
      <w:lvlJc w:val="left"/>
    </w:lvl>
    <w:lvl w:ilvl="4" w:tplc="48425C30">
      <w:numFmt w:val="decimal"/>
      <w:lvlText w:val=""/>
      <w:lvlJc w:val="left"/>
    </w:lvl>
    <w:lvl w:ilvl="5" w:tplc="01789C5E">
      <w:numFmt w:val="decimal"/>
      <w:lvlText w:val=""/>
      <w:lvlJc w:val="left"/>
    </w:lvl>
    <w:lvl w:ilvl="6" w:tplc="52AE49EA">
      <w:numFmt w:val="decimal"/>
      <w:lvlText w:val=""/>
      <w:lvlJc w:val="left"/>
    </w:lvl>
    <w:lvl w:ilvl="7" w:tplc="0838AB0E">
      <w:numFmt w:val="decimal"/>
      <w:lvlText w:val=""/>
      <w:lvlJc w:val="left"/>
    </w:lvl>
    <w:lvl w:ilvl="8" w:tplc="A8F8E064">
      <w:numFmt w:val="decimal"/>
      <w:lvlText w:val=""/>
      <w:lvlJc w:val="left"/>
    </w:lvl>
  </w:abstractNum>
  <w:abstractNum w:abstractNumId="1" w15:restartNumberingAfterBreak="0">
    <w:nsid w:val="519933D9"/>
    <w:multiLevelType w:val="hybridMultilevel"/>
    <w:tmpl w:val="8E3AEF1C"/>
    <w:lvl w:ilvl="0" w:tplc="C08C734E">
      <w:start w:val="1"/>
      <w:numFmt w:val="bullet"/>
      <w:lvlText w:val="●"/>
      <w:lvlJc w:val="left"/>
      <w:pPr>
        <w:ind w:left="720" w:hanging="360"/>
      </w:pPr>
    </w:lvl>
    <w:lvl w:ilvl="1" w:tplc="D7CA1564">
      <w:start w:val="1"/>
      <w:numFmt w:val="bullet"/>
      <w:lvlText w:val="○"/>
      <w:lvlJc w:val="left"/>
      <w:pPr>
        <w:ind w:left="1440" w:hanging="360"/>
      </w:pPr>
    </w:lvl>
    <w:lvl w:ilvl="2" w:tplc="E78ECFAC">
      <w:start w:val="1"/>
      <w:numFmt w:val="bullet"/>
      <w:lvlText w:val="■"/>
      <w:lvlJc w:val="left"/>
      <w:pPr>
        <w:ind w:left="2160" w:hanging="360"/>
      </w:pPr>
    </w:lvl>
    <w:lvl w:ilvl="3" w:tplc="73424C1C">
      <w:start w:val="1"/>
      <w:numFmt w:val="bullet"/>
      <w:lvlText w:val="●"/>
      <w:lvlJc w:val="left"/>
      <w:pPr>
        <w:ind w:left="2880" w:hanging="360"/>
      </w:pPr>
    </w:lvl>
    <w:lvl w:ilvl="4" w:tplc="5B3EC126">
      <w:start w:val="1"/>
      <w:numFmt w:val="bullet"/>
      <w:lvlText w:val="○"/>
      <w:lvlJc w:val="left"/>
      <w:pPr>
        <w:ind w:left="3600" w:hanging="360"/>
      </w:pPr>
    </w:lvl>
    <w:lvl w:ilvl="5" w:tplc="4F3C1F04">
      <w:start w:val="1"/>
      <w:numFmt w:val="bullet"/>
      <w:lvlText w:val="■"/>
      <w:lvlJc w:val="left"/>
      <w:pPr>
        <w:ind w:left="4320" w:hanging="360"/>
      </w:pPr>
    </w:lvl>
    <w:lvl w:ilvl="6" w:tplc="24461562">
      <w:start w:val="1"/>
      <w:numFmt w:val="bullet"/>
      <w:lvlText w:val="●"/>
      <w:lvlJc w:val="left"/>
      <w:pPr>
        <w:ind w:left="5040" w:hanging="360"/>
      </w:pPr>
    </w:lvl>
    <w:lvl w:ilvl="7" w:tplc="D790621C">
      <w:start w:val="1"/>
      <w:numFmt w:val="bullet"/>
      <w:lvlText w:val="●"/>
      <w:lvlJc w:val="left"/>
      <w:pPr>
        <w:ind w:left="5760" w:hanging="360"/>
      </w:pPr>
    </w:lvl>
    <w:lvl w:ilvl="8" w:tplc="62A4AD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090BE4"/>
    <w:multiLevelType w:val="hybridMultilevel"/>
    <w:tmpl w:val="BBD6AAAE"/>
    <w:lvl w:ilvl="0" w:tplc="4E9897BA">
      <w:start w:val="1"/>
      <w:numFmt w:val="bullet"/>
      <w:lvlText w:val="—"/>
      <w:lvlJc w:val="left"/>
      <w:pPr>
        <w:ind w:left="640" w:hanging="320"/>
      </w:pPr>
    </w:lvl>
    <w:lvl w:ilvl="1" w:tplc="41665DE4">
      <w:numFmt w:val="decimal"/>
      <w:lvlText w:val=""/>
      <w:lvlJc w:val="left"/>
    </w:lvl>
    <w:lvl w:ilvl="2" w:tplc="4A7E451C">
      <w:numFmt w:val="decimal"/>
      <w:lvlText w:val=""/>
      <w:lvlJc w:val="left"/>
    </w:lvl>
    <w:lvl w:ilvl="3" w:tplc="B0A6725C">
      <w:numFmt w:val="decimal"/>
      <w:lvlText w:val=""/>
      <w:lvlJc w:val="left"/>
    </w:lvl>
    <w:lvl w:ilvl="4" w:tplc="A9280CF0">
      <w:numFmt w:val="decimal"/>
      <w:lvlText w:val=""/>
      <w:lvlJc w:val="left"/>
    </w:lvl>
    <w:lvl w:ilvl="5" w:tplc="D8D8918A">
      <w:numFmt w:val="decimal"/>
      <w:lvlText w:val=""/>
      <w:lvlJc w:val="left"/>
    </w:lvl>
    <w:lvl w:ilvl="6" w:tplc="CF78CFF2">
      <w:numFmt w:val="decimal"/>
      <w:lvlText w:val=""/>
      <w:lvlJc w:val="left"/>
    </w:lvl>
    <w:lvl w:ilvl="7" w:tplc="1A104CE6">
      <w:numFmt w:val="decimal"/>
      <w:lvlText w:val=""/>
      <w:lvlJc w:val="left"/>
    </w:lvl>
    <w:lvl w:ilvl="8" w:tplc="96A0EA38">
      <w:numFmt w:val="decimal"/>
      <w:lvlText w:val=""/>
      <w:lvlJc w:val="left"/>
    </w:lvl>
  </w:abstractNum>
  <w:num w:numId="1" w16cid:durableId="1752583483">
    <w:abstractNumId w:val="1"/>
    <w:lvlOverride w:ilvl="0">
      <w:startOverride w:val="1"/>
    </w:lvlOverride>
  </w:num>
  <w:num w:numId="2" w16cid:durableId="1919975119">
    <w:abstractNumId w:val="0"/>
    <w:lvlOverride w:ilvl="0">
      <w:startOverride w:val="1"/>
    </w:lvlOverride>
  </w:num>
  <w:num w:numId="3" w16cid:durableId="15977904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BDE"/>
    <w:rsid w:val="00992EE8"/>
    <w:rsid w:val="00A02BDE"/>
    <w:rsid w:val="00F0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DC2E6E"/>
  <w15:docId w15:val="{73DF8342-D1BB-B044-B626-6C4B99F1D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JP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ascii="Times New Roman" w:eastAsia="Times New Roman" w:hAnsi="Times New Roman" w:cs="Times New Roman"/>
      <w:b/>
      <w:bCs/>
      <w:color w:val="000000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rFonts w:ascii="Times New Roman" w:eastAsia="Times New Roman" w:hAnsi="Times New Roman" w:cs="Times New Roman"/>
      <w:b/>
      <w:bCs/>
      <w:color w:val="003D8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1920</Words>
  <Characters>10947</Characters>
  <Application>Microsoft Office Word</Application>
  <DocSecurity>0</DocSecurity>
  <Lines>91</Lines>
  <Paragraphs>25</Paragraphs>
  <ScaleCrop>false</ScaleCrop>
  <Company/>
  <LinksUpToDate>false</LinksUpToDate>
  <CharactersWithSpaces>12842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Hana S.</cp:lastModifiedBy>
  <cp:revision>3</cp:revision>
  <dcterms:created xsi:type="dcterms:W3CDTF">2026-03-27T01:21:00Z</dcterms:created>
  <dcterms:modified xsi:type="dcterms:W3CDTF">2026-03-27T01:44:00Z</dcterms:modified>
</cp:coreProperties>
</file>