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68E0" w:rsidRDefault="00000000">
      <w:pPr>
        <w:spacing w:after="80"/>
      </w:pPr>
      <w:r>
        <w:rPr>
          <w:color w:val="888888"/>
          <w:sz w:val="20"/>
          <w:szCs w:val="20"/>
        </w:rPr>
        <w:t>0-Sphere Model  |  Paper #51  |  Conceptual Evaluation Guide</w:t>
      </w:r>
    </w:p>
    <w:p w:rsidR="009168E0" w:rsidRPr="00E26520" w:rsidRDefault="00000000">
      <w:pPr>
        <w:spacing w:after="60"/>
        <w:rPr>
          <w:sz w:val="32"/>
          <w:szCs w:val="32"/>
        </w:rPr>
      </w:pPr>
      <w:r w:rsidRPr="00E26520">
        <w:rPr>
          <w:b/>
          <w:bCs/>
          <w:color w:val="1A4A7A"/>
          <w:sz w:val="32"/>
          <w:szCs w:val="32"/>
        </w:rPr>
        <w:t>Evidential Status of the Phase Accumulation Framework</w:t>
      </w:r>
    </w:p>
    <w:p w:rsidR="00E26520" w:rsidRDefault="00E26520">
      <w:pPr>
        <w:spacing w:after="40"/>
        <w:rPr>
          <w:i/>
          <w:iCs/>
          <w:color w:val="555555"/>
          <w:sz w:val="26"/>
          <w:szCs w:val="26"/>
        </w:rPr>
      </w:pPr>
    </w:p>
    <w:p w:rsidR="009168E0" w:rsidRDefault="00000000">
      <w:pPr>
        <w:spacing w:after="40"/>
      </w:pPr>
      <w:r>
        <w:rPr>
          <w:i/>
          <w:iCs/>
          <w:color w:val="555555"/>
          <w:sz w:val="26"/>
          <w:szCs w:val="26"/>
        </w:rPr>
        <w:t>Strengths, Tensions, and Open Problems</w:t>
      </w:r>
    </w:p>
    <w:p w:rsidR="009168E0" w:rsidRDefault="00000000">
      <w:pPr>
        <w:spacing w:after="240"/>
      </w:pPr>
      <w:r>
        <w:rPr>
          <w:color w:val="888888"/>
          <w:sz w:val="18"/>
          <w:szCs w:val="18"/>
        </w:rPr>
        <w:t>Satoshi Hanamura  |  2026  |  Companion to Paper #51  |  DOI: 10.5281/zenodo.19489126</w:t>
      </w:r>
    </w:p>
    <w:p w:rsidR="009168E0" w:rsidRDefault="009168E0">
      <w:pPr>
        <w:pBdr>
          <w:bottom w:val="single" w:sz="4" w:space="0" w:color="CCCCCC"/>
        </w:pBdr>
        <w:spacing w:before="120" w:after="120"/>
      </w:pPr>
    </w:p>
    <w:p w:rsidR="009168E0" w:rsidRDefault="00000000">
      <w:pPr>
        <w:pStyle w:val="Heading1"/>
      </w:pPr>
      <w:r>
        <w:t>0. Purpose and Scope</w:t>
      </w:r>
    </w:p>
    <w:p w:rsidR="009168E0" w:rsidRDefault="00000000">
      <w:pPr>
        <w:spacing w:before="60" w:after="60"/>
      </w:pPr>
      <w:r>
        <w:t>This guide evaluates the degree to which the claims of Paper #51 are substantiated. Where the companion overview (zenodo_51_guide.docx) describes what the paper says, this document asks how well established each claim is.</w:t>
      </w:r>
    </w:p>
    <w:p w:rsidR="009168E0" w:rsidRDefault="009168E0">
      <w:pPr>
        <w:spacing w:before="80"/>
      </w:pPr>
    </w:p>
    <w:p w:rsidR="009168E0" w:rsidRDefault="00000000">
      <w:pPr>
        <w:spacing w:before="60" w:after="60"/>
      </w:pPr>
      <w:r>
        <w:t>Intended readers: the author as a personal reference, and doctoral or master's students approaching the 0-Sphere Model for the first time.</w:t>
      </w:r>
    </w:p>
    <w:p w:rsidR="009168E0" w:rsidRDefault="009168E0">
      <w:pPr>
        <w:spacing w:before="160"/>
      </w:pPr>
    </w:p>
    <w:p w:rsidR="009168E0" w:rsidRDefault="00000000">
      <w:pPr>
        <w:pStyle w:val="Heading1"/>
      </w:pPr>
      <w:r>
        <w:t>1. Internally Consistent Components</w:t>
      </w:r>
    </w:p>
    <w:p w:rsidR="009168E0" w:rsidRDefault="00000000">
      <w:pPr>
        <w:spacing w:before="60" w:after="60"/>
      </w:pPr>
      <w:r>
        <w:t>The logical architecture of the framework contains no internal contradictions at any of the following steps:</w:t>
      </w:r>
    </w:p>
    <w:p w:rsidR="009168E0" w:rsidRDefault="009168E0">
      <w:pPr>
        <w:spacing w:before="80"/>
      </w:pPr>
    </w:p>
    <w:p w:rsidR="009168E0" w:rsidRDefault="00000000">
      <w:pPr>
        <w:pStyle w:val="ListParagraph"/>
        <w:numPr>
          <w:ilvl w:val="0"/>
          <w:numId w:val="2"/>
        </w:numPr>
        <w:spacing w:before="40" w:after="40"/>
      </w:pPr>
      <w:r>
        <w:t>The Berry connection A_mu is physically defined as a 1-form on the internal state bundle (#51 SS3.5).</w:t>
      </w:r>
    </w:p>
    <w:p w:rsidR="009168E0" w:rsidRDefault="00000000">
      <w:pPr>
        <w:pStyle w:val="ListParagraph"/>
        <w:numPr>
          <w:ilvl w:val="0"/>
          <w:numId w:val="2"/>
        </w:numPr>
        <w:spacing w:before="40" w:after="40"/>
      </w:pPr>
      <w:r>
        <w:t>S = integral A_mu dx^mu is well-defined as a functional of the endpoint pair (x_A, x_B); uniqueness is guaranteed by Bonnet-Myers plus non-antipodality (#51 SS3.4).</w:t>
      </w:r>
    </w:p>
    <w:p w:rsidR="009168E0" w:rsidRDefault="00000000">
      <w:pPr>
        <w:pStyle w:val="ListParagraph"/>
        <w:numPr>
          <w:ilvl w:val="0"/>
          <w:numId w:val="2"/>
        </w:numPr>
        <w:spacing w:before="40" w:after="40"/>
      </w:pPr>
      <w:r>
        <w:t>The Synge reconstruction theorem is a rigorous mathematical result: g_mu_nu follows necessarily whenever S_s satisfies the axioms (#51 SS4.1).</w:t>
      </w:r>
    </w:p>
    <w:p w:rsidR="009168E0" w:rsidRDefault="00000000">
      <w:pPr>
        <w:pStyle w:val="ListParagraph"/>
        <w:numPr>
          <w:ilvl w:val="0"/>
          <w:numId w:val="2"/>
        </w:numPr>
        <w:spacing w:before="40" w:after="40"/>
      </w:pPr>
      <w:r>
        <w:t>The Berry curvature F_mu_nu arising from path deformation is the standard definition of curvature of a connection (Stokes theorem).</w:t>
      </w:r>
    </w:p>
    <w:p w:rsidR="009168E0" w:rsidRDefault="00000000">
      <w:pPr>
        <w:pStyle w:val="ListParagraph"/>
        <w:numPr>
          <w:ilvl w:val="0"/>
          <w:numId w:val="2"/>
        </w:numPr>
        <w:spacing w:before="40" w:after="40"/>
      </w:pPr>
      <w:r>
        <w:t>The flat-space consistency check is passed (#51 SS4.3).</w:t>
      </w:r>
    </w:p>
    <w:p w:rsidR="009168E0" w:rsidRDefault="009168E0">
      <w:pPr>
        <w:spacing w:before="80"/>
      </w:pPr>
    </w:p>
    <w:p w:rsidR="009168E0" w:rsidRDefault="00000000">
      <w:pPr>
        <w:spacing w:before="60" w:after="60"/>
      </w:pPr>
      <w:r>
        <w:t>The structure in which different projections of the same object describe different physics has well-known precedents in mathematics and physics (Fourier transform, holographic principle, etc.).</w:t>
      </w:r>
    </w:p>
    <w:p w:rsidR="009168E0" w:rsidRDefault="009168E0">
      <w:pPr>
        <w:spacing w:before="160"/>
      </w:pPr>
    </w:p>
    <w:p w:rsidR="009168E0" w:rsidRDefault="00000000">
      <w:pPr>
        <w:pStyle w:val="Heading1"/>
      </w:pPr>
      <w:r>
        <w:t>1.5  Synge World Function: Background and the Identification</w:t>
      </w:r>
    </w:p>
    <w:p w:rsidR="009168E0" w:rsidRDefault="00000000">
      <w:pPr>
        <w:spacing w:before="60" w:after="60"/>
      </w:pPr>
      <w:r>
        <w:t>The identification of the phase accumulation functional S(x_A, x_B) with Synge's world function is the central proposition of Paper #51. This section explains what Synge's world function is, why it matters, and how the logical chain of the paper justifies the identification.</w:t>
      </w:r>
    </w:p>
    <w:p w:rsidR="009168E0" w:rsidRDefault="009168E0">
      <w:pPr>
        <w:spacing w:before="80"/>
      </w:pPr>
    </w:p>
    <w:p w:rsidR="009168E0" w:rsidRDefault="00000000">
      <w:pPr>
        <w:pStyle w:val="Heading2"/>
      </w:pPr>
      <w:r>
        <w:t>1.5-1. What is Synge's world function?</w:t>
      </w:r>
    </w:p>
    <w:p w:rsidR="009168E0" w:rsidRDefault="00000000">
      <w:pPr>
        <w:spacing w:before="60" w:after="60"/>
      </w:pPr>
      <w:r>
        <w:lastRenderedPageBreak/>
        <w:t>Synge's world function Omega(x, x') is a two-point scalar that encodes all geodesic information between two spacetime points. Proposed by John Lighton Synge, it is defined as half the squared geodesic length s between x and x':</w:t>
      </w:r>
    </w:p>
    <w:p w:rsidR="009168E0" w:rsidRDefault="009168E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68E0">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rsidR="009168E0" w:rsidRDefault="00000000">
            <w:pPr>
              <w:spacing w:before="60" w:after="60"/>
              <w:jc w:val="center"/>
            </w:pPr>
            <w:r>
              <w:rPr>
                <w:rFonts w:ascii="Courier New" w:eastAsia="Courier New" w:hAnsi="Courier New" w:cs="Courier New"/>
              </w:rPr>
              <w:t>Omega(x, x') = (1/2) s^2</w:t>
            </w:r>
          </w:p>
        </w:tc>
      </w:tr>
    </w:tbl>
    <w:p w:rsidR="009168E0" w:rsidRDefault="009168E0">
      <w:pPr>
        <w:spacing w:before="80"/>
      </w:pPr>
    </w:p>
    <w:p w:rsidR="009168E0" w:rsidRDefault="00000000">
      <w:pPr>
        <w:spacing w:before="60" w:after="60"/>
      </w:pPr>
      <w:r>
        <w:t>Three properties make it a powerful tool:</w:t>
      </w:r>
    </w:p>
    <w:p w:rsidR="009168E0" w:rsidRDefault="00000000">
      <w:pPr>
        <w:pStyle w:val="ListParagraph"/>
        <w:numPr>
          <w:ilvl w:val="0"/>
          <w:numId w:val="3"/>
        </w:numPr>
        <w:spacing w:before="40" w:after="40"/>
      </w:pPr>
      <w:r>
        <w:t>Encodes spacetime curvature: differentiating Omega extracts the metric tensor g_mu_nu and the Riemann curvature at any point.</w:t>
      </w:r>
    </w:p>
    <w:p w:rsidR="009168E0" w:rsidRDefault="00000000">
      <w:pPr>
        <w:pStyle w:val="ListParagraph"/>
        <w:numPr>
          <w:ilvl w:val="0"/>
          <w:numId w:val="3"/>
        </w:numPr>
        <w:spacing w:before="40" w:after="40"/>
      </w:pPr>
      <w:r>
        <w:t>Strong in coincidence expansions: Taylor-expanding Omega when x' -&gt; x provides systematic approximations to complex GR calculations (Hadamard expansion), widely used in QFT in curved spacetime and gravitational wave physics.</w:t>
      </w:r>
    </w:p>
    <w:p w:rsidR="009168E0" w:rsidRDefault="00000000">
      <w:pPr>
        <w:pStyle w:val="ListParagraph"/>
        <w:numPr>
          <w:ilvl w:val="0"/>
          <w:numId w:val="3"/>
        </w:numPr>
        <w:spacing w:before="40" w:after="40"/>
      </w:pPr>
      <w:r>
        <w:t>Coordinate-independent: as a geometric scalar, Omega depends only on the intrinsic geodesic distance, not on any choice of coordinates.</w:t>
      </w:r>
    </w:p>
    <w:p w:rsidR="009168E0" w:rsidRDefault="009168E0">
      <w:pPr>
        <w:spacing w:before="80"/>
      </w:pPr>
    </w:p>
    <w:p w:rsidR="009168E0" w:rsidRDefault="00000000">
      <w:pPr>
        <w:spacing w:before="60" w:after="60"/>
      </w:pPr>
      <w:r>
        <w:t>The Synge reconstruction theorem recovers the metric from Omega via mixed second derivatives at coincidence:</w:t>
      </w:r>
    </w:p>
    <w:p w:rsidR="009168E0" w:rsidRDefault="009168E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68E0">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rsidR="009168E0" w:rsidRDefault="00000000">
            <w:pPr>
              <w:spacing w:before="60" w:after="60"/>
              <w:jc w:val="center"/>
            </w:pPr>
            <w:r>
              <w:rPr>
                <w:rFonts w:ascii="Courier New" w:eastAsia="Courier New" w:hAnsi="Courier New" w:cs="Courier New"/>
              </w:rPr>
              <w:t>g_mu_nu(x) = d_Amu d_Bnu Omega(x_A, x_B) |_{x_A = x_B = x}</w:t>
            </w:r>
          </w:p>
        </w:tc>
      </w:tr>
    </w:tbl>
    <w:p w:rsidR="009168E0" w:rsidRDefault="009168E0">
      <w:pPr>
        <w:spacing w:before="80"/>
      </w:pPr>
    </w:p>
    <w:p w:rsidR="009168E0" w:rsidRDefault="00000000">
      <w:pPr>
        <w:pStyle w:val="Heading2"/>
      </w:pPr>
      <w:r>
        <w:t>1.5-2. Why the identification belongs in the main text</w:t>
      </w:r>
    </w:p>
    <w:p w:rsidR="009168E0" w:rsidRDefault="00000000">
      <w:pPr>
        <w:spacing w:before="60" w:after="60"/>
      </w:pPr>
      <w:r>
        <w:t>The Synge identification is the central proposition of Paper #51, not a technical aside. If its justification is confined to an appendix, referees and readers will perceive it as an idea without sufficient proof. Placing the logical chain in the main text signals that the path to the central claim is complete within the paper's scope.</w:t>
      </w:r>
    </w:p>
    <w:p w:rsidR="009168E0" w:rsidRDefault="009168E0">
      <w:pPr>
        <w:spacing w:before="80"/>
      </w:pPr>
    </w:p>
    <w:p w:rsidR="009168E0" w:rsidRDefault="00000000">
      <w:pPr>
        <w:spacing w:before="60" w:after="60"/>
      </w:pPr>
      <w:r>
        <w:t>The full logical chain that justifies the identification, as established in Paper #51:</w:t>
      </w:r>
    </w:p>
    <w:p w:rsidR="009168E0" w:rsidRDefault="009168E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68E0">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4F6"/>
            <w:tcMar>
              <w:top w:w="100" w:type="dxa"/>
              <w:left w:w="160" w:type="dxa"/>
              <w:bottom w:w="100" w:type="dxa"/>
              <w:right w:w="160" w:type="dxa"/>
            </w:tcMar>
          </w:tcPr>
          <w:p w:rsidR="009168E0" w:rsidRDefault="00000000">
            <w:pPr>
              <w:spacing w:before="60" w:after="16"/>
            </w:pPr>
            <w:r>
              <w:rPr>
                <w:rFonts w:ascii="Courier New" w:eastAsia="Courier New" w:hAnsi="Courier New" w:cs="Courier New"/>
                <w:sz w:val="21"/>
                <w:szCs w:val="21"/>
              </w:rPr>
              <w:t>S^0 = {A, B} is not arcwise connected  [stated as theorem]</w:t>
            </w:r>
          </w:p>
          <w:p w:rsidR="009168E0" w:rsidRDefault="00000000">
            <w:pPr>
              <w:spacing w:after="16"/>
            </w:pPr>
            <w:r>
              <w:rPr>
                <w:rFonts w:ascii="Courier New" w:eastAsia="Courier New" w:hAnsi="Courier New" w:cs="Courier New"/>
                <w:sz w:val="21"/>
                <w:szCs w:val="21"/>
              </w:rPr>
              <w:t xml:space="preserve">  -&gt; S^n (n &gt;= 1) provides the arcwise-connected embedding  [Compton constraint: r ~ lambda_C]</w:t>
            </w:r>
          </w:p>
          <w:p w:rsidR="009168E0" w:rsidRDefault="00000000">
            <w:pPr>
              <w:spacing w:after="16"/>
            </w:pPr>
            <w:r>
              <w:rPr>
                <w:rFonts w:ascii="Courier New" w:eastAsia="Courier New" w:hAnsi="Courier New" w:cs="Courier New"/>
                <w:sz w:val="21"/>
                <w:szCs w:val="21"/>
              </w:rPr>
              <w:t xml:space="preserve">  -&gt; Bonnet-Myers: diam &lt;= pi*r  =&gt;  confinement domain D  (#33 derived geometrically)</w:t>
            </w:r>
          </w:p>
          <w:p w:rsidR="009168E0" w:rsidRDefault="00000000">
            <w:pPr>
              <w:spacing w:after="16"/>
            </w:pPr>
            <w:r>
              <w:rPr>
                <w:rFonts w:ascii="Courier New" w:eastAsia="Courier New" w:hAnsi="Courier New" w:cs="Courier New"/>
                <w:sz w:val="21"/>
                <w:szCs w:val="21"/>
              </w:rPr>
              <w:t xml:space="preserve">  -&gt; A/B non-antipodal  =&gt;  unique thermal geodesic  [basis for Synge axiom (ii)]</w:t>
            </w:r>
          </w:p>
          <w:p w:rsidR="009168E0" w:rsidRDefault="00000000">
            <w:pPr>
              <w:spacing w:after="16"/>
            </w:pPr>
            <w:r>
              <w:rPr>
                <w:rFonts w:ascii="Courier New" w:eastAsia="Courier New" w:hAnsi="Courier New" w:cs="Courier New"/>
                <w:sz w:val="21"/>
                <w:szCs w:val="21"/>
              </w:rPr>
              <w:t xml:space="preserve">  -&gt; S(x_A, x_B) is well-defined and bounded</w:t>
            </w:r>
          </w:p>
          <w:p w:rsidR="009168E0" w:rsidRDefault="00000000">
            <w:pPr>
              <w:spacing w:after="16"/>
            </w:pPr>
            <w:r>
              <w:rPr>
                <w:rFonts w:ascii="Courier New" w:eastAsia="Courier New" w:hAnsi="Courier New" w:cs="Courier New"/>
                <w:sz w:val="21"/>
                <w:szCs w:val="21"/>
              </w:rPr>
              <w:t xml:space="preserve">  -&gt; Synge reconstruction theorem applies</w:t>
            </w:r>
          </w:p>
          <w:p w:rsidR="009168E0" w:rsidRDefault="00000000">
            <w:pPr>
              <w:spacing w:after="60"/>
            </w:pPr>
            <w:r>
              <w:rPr>
                <w:rFonts w:ascii="Courier New" w:eastAsia="Courier New" w:hAnsi="Courier New" w:cs="Courier New"/>
                <w:sz w:val="21"/>
                <w:szCs w:val="21"/>
              </w:rPr>
              <w:t xml:space="preserve">  -&gt; g_mu_nu = d_Amu d_Bnu S_s |_{x_A = x_B = x}</w:t>
            </w:r>
          </w:p>
        </w:tc>
      </w:tr>
    </w:tbl>
    <w:p w:rsidR="009168E0" w:rsidRDefault="009168E0">
      <w:pPr>
        <w:spacing w:before="80"/>
      </w:pPr>
    </w:p>
    <w:p w:rsidR="009168E0" w:rsidRDefault="00000000">
      <w:pPr>
        <w:spacing w:before="60" w:after="60"/>
      </w:pPr>
      <w:r>
        <w:t>The entire path to the central proposition is thus a single logical chain within the main text.</w:t>
      </w:r>
    </w:p>
    <w:p w:rsidR="009168E0" w:rsidRDefault="009168E0">
      <w:pPr>
        <w:spacing w:before="80"/>
      </w:pPr>
    </w:p>
    <w:p w:rsidR="009168E0" w:rsidRDefault="00000000">
      <w:pPr>
        <w:pStyle w:val="Heading2"/>
      </w:pPr>
      <w:r>
        <w:t>1.5-3. Known applications of Synge's world function</w:t>
      </w:r>
    </w:p>
    <w:p w:rsidR="009168E0" w:rsidRDefault="00000000">
      <w:pPr>
        <w:spacing w:before="60" w:after="60"/>
      </w:pPr>
      <w:r>
        <w:lastRenderedPageBreak/>
        <w:t>The table below contextualizes the Synge identification within established fields, and clarifies the distinction between the Berry phase and Synge's world function — the two central geometric objects of this paper.</w:t>
      </w:r>
    </w:p>
    <w:p w:rsidR="009168E0" w:rsidRDefault="009168E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13"/>
        <w:gridCol w:w="3413"/>
      </w:tblGrid>
      <w:tr w:rsidR="009168E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Concept</w:t>
            </w:r>
          </w:p>
        </w:tc>
        <w:tc>
          <w:tcPr>
            <w:tcW w:w="2813"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Primary domain</w:t>
            </w:r>
          </w:p>
        </w:tc>
        <w:tc>
          <w:tcPr>
            <w:tcW w:w="3413"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Role</w:t>
            </w:r>
          </w:p>
        </w:tc>
      </w:tr>
      <w:tr w:rsidR="009168E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Berry phase</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Solid-state physics, quantum mechanics</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Phase shift accumulated when a quantum state is transported around a closed loop in parameter space</w:t>
            </w:r>
          </w:p>
        </w:tc>
      </w:tr>
      <w:tr w:rsidR="009168E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Synge world function</w:t>
            </w:r>
          </w:p>
        </w:tc>
        <w:tc>
          <w:tcPr>
            <w:tcW w:w="28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General relativity, cosmology</w:t>
            </w:r>
          </w:p>
        </w:tc>
        <w:tc>
          <w:tcPr>
            <w:tcW w:w="34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Geodesic geometry between two spacetime points; used to reconstruct g_mu_nu</w:t>
            </w:r>
          </w:p>
        </w:tc>
      </w:tr>
      <w:tr w:rsidR="009168E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0-Sphere identification (this paper)</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Paper #51</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S(x_A, x_B) serves both roles: Berry-phase accumulation along the helical arc and world function from which g_mu_nu is reconstructed</w:t>
            </w:r>
          </w:p>
        </w:tc>
      </w:tr>
    </w:tbl>
    <w:p w:rsidR="009168E0" w:rsidRDefault="009168E0">
      <w:pPr>
        <w:spacing w:before="80"/>
      </w:pPr>
    </w:p>
    <w:p w:rsidR="009168E0" w:rsidRDefault="00000000">
      <w:pPr>
        <w:spacing w:before="60" w:after="60"/>
      </w:pPr>
      <w:r>
        <w:t>Active application areas include: propagator construction in QFT in curved spacetime (Hadamard expansion); post-Newtonian approximation in gravitational-wave astronomy; GPS/GNSS relativistic time corrections; and geodesic deviation analysis in numerical relativity. The 0-Sphere identification inherits these applications as downstream uses once the bridge equation (Section 3) is established.</w:t>
      </w:r>
    </w:p>
    <w:p w:rsidR="009168E0" w:rsidRDefault="009168E0">
      <w:pPr>
        <w:spacing w:before="160"/>
      </w:pPr>
    </w:p>
    <w:p w:rsidR="009168E0" w:rsidRDefault="00000000">
      <w:pPr>
        <w:pStyle w:val="Heading1"/>
      </w:pPr>
      <w:r>
        <w:t>2. Tension: Precision of the Phrase "Information Retained"</w:t>
      </w:r>
    </w:p>
    <w:p w:rsidR="009168E0" w:rsidRDefault="00000000">
      <w:pPr>
        <w:pStyle w:val="Heading2"/>
      </w:pPr>
      <w:r>
        <w:t>2-1. Antisymmetry of S and the need for symmetrization</w:t>
      </w:r>
    </w:p>
    <w:p w:rsidR="009168E0" w:rsidRDefault="00000000">
      <w:pPr>
        <w:spacing w:before="60" w:after="60"/>
      </w:pPr>
      <w:r>
        <w:t>#51 SS4.2 treats the antisymmetry of S explicitly:</w:t>
      </w:r>
    </w:p>
    <w:p w:rsidR="009168E0" w:rsidRDefault="009168E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68E0">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3CD"/>
            <w:tcMar>
              <w:top w:w="100" w:type="dxa"/>
              <w:left w:w="160" w:type="dxa"/>
              <w:bottom w:w="100" w:type="dxa"/>
              <w:right w:w="160" w:type="dxa"/>
            </w:tcMar>
          </w:tcPr>
          <w:p w:rsidR="009168E0" w:rsidRDefault="00000000">
            <w:pPr>
              <w:spacing w:before="60" w:after="60"/>
              <w:jc w:val="center"/>
            </w:pPr>
            <w:r>
              <w:rPr>
                <w:rFonts w:ascii="Courier New" w:eastAsia="Courier New" w:hAnsi="Courier New" w:cs="Courier New"/>
              </w:rPr>
              <w:t>S(x_A, x_B) = -S(x_B, x_A)</w:t>
            </w:r>
          </w:p>
        </w:tc>
      </w:tr>
    </w:tbl>
    <w:p w:rsidR="009168E0" w:rsidRDefault="009168E0">
      <w:pPr>
        <w:spacing w:before="80"/>
      </w:pPr>
    </w:p>
    <w:p w:rsidR="009168E0" w:rsidRDefault="00000000">
      <w:pPr>
        <w:spacing w:before="60" w:after="60"/>
      </w:pPr>
      <w:r>
        <w:t>Obtaining the metric requires symmetrization:</w:t>
      </w:r>
    </w:p>
    <w:p w:rsidR="009168E0" w:rsidRDefault="009168E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68E0">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3CD"/>
            <w:tcMar>
              <w:top w:w="100" w:type="dxa"/>
              <w:left w:w="160" w:type="dxa"/>
              <w:bottom w:w="100" w:type="dxa"/>
              <w:right w:w="160" w:type="dxa"/>
            </w:tcMar>
          </w:tcPr>
          <w:p w:rsidR="009168E0" w:rsidRDefault="00000000">
            <w:pPr>
              <w:spacing w:before="60" w:after="60"/>
              <w:jc w:val="center"/>
            </w:pPr>
            <w:r>
              <w:rPr>
                <w:rFonts w:ascii="Courier New" w:eastAsia="Courier New" w:hAnsi="Courier New" w:cs="Courier New"/>
              </w:rPr>
              <w:t>S_s = 1/2 [S(x_A, x_B) + S(x_B, x_A)]</w:t>
            </w:r>
          </w:p>
        </w:tc>
      </w:tr>
    </w:tbl>
    <w:p w:rsidR="009168E0" w:rsidRDefault="009168E0">
      <w:pPr>
        <w:spacing w:before="80"/>
      </w:pPr>
    </w:p>
    <w:p w:rsidR="009168E0" w:rsidRDefault="00000000">
      <w:pPr>
        <w:spacing w:before="60" w:after="60"/>
      </w:pPr>
      <w:r>
        <w:t>What this implies:</w:t>
      </w:r>
    </w:p>
    <w:p w:rsidR="009168E0" w:rsidRDefault="00000000">
      <w:pPr>
        <w:pStyle w:val="ListParagraph"/>
        <w:numPr>
          <w:ilvl w:val="0"/>
          <w:numId w:val="3"/>
        </w:numPr>
        <w:spacing w:before="40" w:after="40"/>
      </w:pPr>
      <w:r>
        <w:t>S as a whole retains all information — this is correct.</w:t>
      </w:r>
    </w:p>
    <w:p w:rsidR="009168E0" w:rsidRDefault="00000000">
      <w:pPr>
        <w:pStyle w:val="ListParagraph"/>
        <w:numPr>
          <w:ilvl w:val="0"/>
          <w:numId w:val="3"/>
        </w:numPr>
        <w:spacing w:before="40" w:after="40"/>
      </w:pPr>
      <w:r>
        <w:t>Each projection operation accesses only one sector of S — this is equally true.</w:t>
      </w:r>
    </w:p>
    <w:p w:rsidR="009168E0" w:rsidRDefault="009168E0">
      <w:pPr>
        <w:spacing w:before="80"/>
      </w:pPr>
    </w:p>
    <w:p w:rsidR="009168E0" w:rsidRDefault="00000000">
      <w:pPr>
        <w:pStyle w:val="Heading2"/>
      </w:pPr>
      <w:r>
        <w:t>2-2. Recommended phrasing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68E0">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4EDDA"/>
            <w:tcMar>
              <w:top w:w="100" w:type="dxa"/>
              <w:left w:w="160" w:type="dxa"/>
              <w:bottom w:w="100" w:type="dxa"/>
              <w:right w:w="160" w:type="dxa"/>
            </w:tcMar>
          </w:tcPr>
          <w:p w:rsidR="009168E0" w:rsidRDefault="00000000">
            <w:pPr>
              <w:spacing w:before="60" w:after="40"/>
            </w:pPr>
            <w:r>
              <w:rPr>
                <w:b/>
                <w:bCs/>
              </w:rPr>
              <w:t xml:space="preserve">Recommended: </w:t>
            </w:r>
          </w:p>
          <w:p w:rsidR="009168E0" w:rsidRDefault="00000000">
            <w:pPr>
              <w:spacing w:after="60"/>
            </w:pPr>
            <w:r>
              <w:rPr>
                <w:i/>
                <w:iCs/>
              </w:rPr>
              <w:lastRenderedPageBreak/>
              <w:t>"All information is retained in the single object S; different projections extract different physical sectors."</w:t>
            </w:r>
          </w:p>
        </w:tc>
      </w:tr>
    </w:tbl>
    <w:p w:rsidR="009168E0" w:rsidRDefault="009168E0">
      <w:pPr>
        <w:spacing w:before="80"/>
      </w:pPr>
    </w:p>
    <w:p w:rsidR="009168E0" w:rsidRDefault="00000000">
      <w:pPr>
        <w:spacing w:before="60" w:after="60"/>
      </w:pPr>
      <w:r>
        <w:t>"Information is not discarded" is a statement about S itself, not about each projection operation. The recommended phrasing above can be adopted as a clarifying footnote in future work.</w:t>
      </w:r>
    </w:p>
    <w:p w:rsidR="009168E0" w:rsidRDefault="009168E0">
      <w:pPr>
        <w:spacing w:before="160"/>
      </w:pPr>
    </w:p>
    <w:p w:rsidR="009168E0" w:rsidRDefault="00000000">
      <w:pPr>
        <w:pStyle w:val="Heading1"/>
      </w:pPr>
      <w:r>
        <w:t>3. Incomplete: The Bridge Equation</w:t>
      </w:r>
    </w:p>
    <w:p w:rsidR="009168E0" w:rsidRDefault="00000000">
      <w:pPr>
        <w:spacing w:before="60" w:after="60"/>
      </w:pPr>
      <w:r>
        <w:t>The claim that the framework is "internally consistent" holds only up to the point that the two projections are independently well-defined. Showing that both arise consistently from the same S requires a bridge equation:</w:t>
      </w:r>
    </w:p>
    <w:p w:rsidR="009168E0" w:rsidRDefault="009168E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68E0">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3CD"/>
            <w:tcMar>
              <w:top w:w="100" w:type="dxa"/>
              <w:left w:w="160" w:type="dxa"/>
              <w:bottom w:w="100" w:type="dxa"/>
              <w:right w:w="160" w:type="dxa"/>
            </w:tcMar>
          </w:tcPr>
          <w:p w:rsidR="009168E0" w:rsidRDefault="00000000">
            <w:pPr>
              <w:spacing w:before="60" w:after="40"/>
            </w:pPr>
            <w:r>
              <w:rPr>
                <w:b/>
                <w:bCs/>
              </w:rPr>
              <w:t>Unproven proposition:</w:t>
            </w:r>
          </w:p>
          <w:p w:rsidR="009168E0" w:rsidRDefault="00000000">
            <w:pPr>
              <w:spacing w:after="60"/>
            </w:pPr>
            <w:r>
              <w:t>Berry curvature F_mu_nu &lt;-&gt; Riemann tensor R^mu_nu_rho_sigma are mutually consistent</w:t>
            </w:r>
          </w:p>
          <w:p w:rsidR="009168E0" w:rsidRDefault="00000000">
            <w:pPr>
              <w:spacing w:after="60"/>
            </w:pPr>
            <w:r>
              <w:rPr>
                <w:i/>
                <w:iCs/>
                <w:color w:val="666666"/>
                <w:sz w:val="20"/>
                <w:szCs w:val="20"/>
              </w:rPr>
              <w:t>(Recorded as open task in the #51 Appendix)</w:t>
            </w:r>
          </w:p>
        </w:tc>
      </w:tr>
    </w:tbl>
    <w:p w:rsidR="009168E0" w:rsidRDefault="009168E0">
      <w:pPr>
        <w:spacing w:before="80"/>
      </w:pPr>
    </w:p>
    <w:p w:rsidR="009168E0" w:rsidRDefault="00000000">
      <w:pPr>
        <w:pStyle w:val="Heading2"/>
      </w:pPr>
      <w:r>
        <w:t>3-1. Best and worst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9168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Case</w:t>
            </w:r>
          </w:p>
        </w:tc>
        <w:tc>
          <w:tcPr>
            <w:tcW w:w="7026"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Implication</w:t>
            </w:r>
          </w:p>
        </w:tc>
      </w:tr>
      <w:tr w:rsidR="009168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b/>
                <w:bCs/>
                <w:sz w:val="20"/>
                <w:szCs w:val="20"/>
              </w:rPr>
              <w:t>Best case</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F_mu_nu and R^mu_nu_rho_sigma are mutually consistent; S is genuinely the common root of gauge forces and gravity.</w:t>
            </w:r>
          </w:p>
        </w:tc>
      </w:tr>
      <w:tr w:rsidR="009168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b/>
                <w:bCs/>
                <w:sz w:val="20"/>
                <w:szCs w:val="20"/>
              </w:rPr>
              <w:t>Worst case</w:t>
            </w:r>
          </w:p>
        </w:tc>
        <w:tc>
          <w:tcPr>
            <w:tcW w:w="7026"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The two are inconsistent; the two projections of S describe independent physics but share no common root ("two superficially similar objects, not two shadows of one").</w:t>
            </w:r>
          </w:p>
        </w:tc>
      </w:tr>
    </w:tbl>
    <w:p w:rsidR="009168E0" w:rsidRDefault="009168E0">
      <w:pPr>
        <w:spacing w:before="80"/>
      </w:pPr>
    </w:p>
    <w:p w:rsidR="009168E0" w:rsidRDefault="00000000">
      <w:pPr>
        <w:spacing w:before="60" w:after="60"/>
      </w:pPr>
      <w:r>
        <w:t>The current status is structural proposal, and this is stated consistently and explicitly throughout the four-paper series.</w:t>
      </w:r>
    </w:p>
    <w:p w:rsidR="009168E0" w:rsidRDefault="009168E0">
      <w:pPr>
        <w:spacing w:before="160"/>
      </w:pPr>
    </w:p>
    <w:p w:rsidR="009168E0" w:rsidRDefault="00000000">
      <w:pPr>
        <w:pStyle w:val="Heading1"/>
      </w:pPr>
      <w:r>
        <w:t>4. Relation to Existing Unification Programs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13"/>
        <w:gridCol w:w="3313"/>
      </w:tblGrid>
      <w:tr w:rsidR="009168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Program</w:t>
            </w:r>
          </w:p>
        </w:tc>
        <w:tc>
          <w:tcPr>
            <w:tcW w:w="3713"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Achievement</w:t>
            </w:r>
          </w:p>
        </w:tc>
        <w:tc>
          <w:tcPr>
            <w:tcW w:w="3313"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Limitation</w:t>
            </w:r>
          </w:p>
        </w:tc>
      </w:tr>
      <w:tr w:rsidR="009168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String theory</w:t>
            </w:r>
          </w:p>
        </w:tc>
        <w:tc>
          <w:tcPr>
            <w:tcW w:w="3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Generates gauge particles (open strings) and gravitons (closed strings) from vibrational modes of a 1D string. A common object exists.</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Enormous freedom in compactification of extra dimensions (landscape problem).</w:t>
            </w:r>
          </w:p>
        </w:tc>
      </w:tr>
      <w:tr w:rsidR="009168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Loop quantum gravity</w:t>
            </w:r>
          </w:p>
        </w:tc>
        <w:tc>
          <w:tcPr>
            <w:tcW w:w="37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Quantizes spacetime itself; reconstructs g_mu_nu from spin networks.</w:t>
            </w:r>
          </w:p>
        </w:tc>
        <w:tc>
          <w:tcPr>
            <w:tcW w:w="33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Gravity quantization is achieved, but unification with gauge forces remains secondary.</w:t>
            </w:r>
          </w:p>
        </w:tc>
      </w:tr>
      <w:tr w:rsidR="009168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lastRenderedPageBreak/>
              <w:t>Kaluza-Klein</w:t>
            </w:r>
          </w:p>
        </w:tc>
        <w:tc>
          <w:tcPr>
            <w:tcW w:w="3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Identifies extra-dimensional components of the 5D metric as gauge fields (g_5mu ~ A_mu). Elegant identification.</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Complete derivation of non-Abelian gauge groups has not been achieved.</w:t>
            </w:r>
          </w:p>
        </w:tc>
      </w:tr>
      <w:tr w:rsidR="009168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0-Sphere (best case)</w:t>
            </w:r>
          </w:p>
        </w:tc>
        <w:tc>
          <w:tcPr>
            <w:tcW w:w="37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Bifurcates gauge forces and gravity from a single phase-accumulation functional S by differentiation direction. No extra dimensions required.</w:t>
            </w:r>
          </w:p>
        </w:tc>
        <w:tc>
          <w:tcPr>
            <w:tcW w:w="33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Bridge equation unproven. Derivation of non-Abelian gauge groups is an open task.</w:t>
            </w:r>
          </w:p>
        </w:tc>
      </w:tr>
    </w:tbl>
    <w:p w:rsidR="009168E0" w:rsidRDefault="009168E0">
      <w:pPr>
        <w:spacing w:before="80"/>
      </w:pPr>
    </w:p>
    <w:p w:rsidR="009168E0" w:rsidRDefault="00000000">
      <w:pPr>
        <w:spacing w:before="60" w:after="60"/>
      </w:pPr>
      <w:r>
        <w:t>The shared structure is "deriving two types of force from a single primitive object". What differs is the nature of that object: an extended 1D string in string theory, a higher-dimensional metric in Kaluza-Klein, and a two-point phase-accumulation functional in the 0-Sphere program.</w:t>
      </w:r>
    </w:p>
    <w:p w:rsidR="009168E0" w:rsidRDefault="009168E0">
      <w:pPr>
        <w:spacing w:before="160"/>
      </w:pPr>
    </w:p>
    <w:p w:rsidR="009168E0" w:rsidRDefault="00000000">
      <w:pPr>
        <w:pStyle w:val="Heading1"/>
      </w:pPr>
      <w:r>
        <w:t>5. Strengths as Evidence (Features Absent in Other Programs)</w:t>
      </w:r>
    </w:p>
    <w:p w:rsidR="009168E0" w:rsidRDefault="00000000">
      <w:pPr>
        <w:spacing w:before="180" w:after="60"/>
      </w:pPr>
      <w:r>
        <w:rPr>
          <w:b/>
          <w:bCs/>
        </w:rPr>
        <w:t>Strength 1: Background independence</w:t>
      </w:r>
    </w:p>
    <w:p w:rsidR="009168E0" w:rsidRDefault="00000000">
      <w:pPr>
        <w:spacing w:before="60" w:after="60"/>
      </w:pPr>
      <w:r>
        <w:t>Because g_mu_nu emerges from S, the construction inverts the standard procedure of building gauge theory on a pre-given spacetime. Gravity is an output, not an input. This is a property long sought in quantum gravity research.</w:t>
      </w:r>
    </w:p>
    <w:p w:rsidR="009168E0" w:rsidRDefault="009168E0">
      <w:pPr>
        <w:spacing w:before="80"/>
      </w:pPr>
    </w:p>
    <w:p w:rsidR="009168E0" w:rsidRDefault="00000000">
      <w:pPr>
        <w:spacing w:before="180" w:after="60"/>
      </w:pPr>
      <w:r>
        <w:rPr>
          <w:b/>
          <w:bCs/>
        </w:rPr>
        <w:t>Strength 2: Resolution of the derivative-order mismatch</w:t>
      </w:r>
    </w:p>
    <w:p w:rsidR="009168E0" w:rsidRDefault="00000000">
      <w:pPr>
        <w:spacing w:before="60" w:after="60"/>
      </w:pPr>
      <w:r>
        <w:t>The problem identified in Paper #40 — gauge forces appear at the curvature (second-derivative) level while GR forces appear at the connection (first-derivative) level — is explained as a difference in the direction of projection from the same S. Neither string theory nor Kaluza-Klein treats this mismatch as a problem to be dissolved.</w:t>
      </w:r>
    </w:p>
    <w:p w:rsidR="009168E0" w:rsidRDefault="009168E0">
      <w:pPr>
        <w:spacing w:before="80"/>
      </w:pPr>
    </w:p>
    <w:p w:rsidR="009168E0" w:rsidRDefault="00000000">
      <w:pPr>
        <w:spacing w:before="180" w:after="60"/>
      </w:pPr>
      <w:r>
        <w:rPr>
          <w:b/>
          <w:bCs/>
        </w:rPr>
        <w:t>Strength 3: Absence of free parameters</w:t>
      </w:r>
    </w:p>
    <w:p w:rsidR="009168E0" w:rsidRDefault="00000000">
      <w:pPr>
        <w:spacing w:before="60" w:after="60"/>
      </w:pPr>
      <w:r>
        <w:t>The values v_ZB approximately 0.04c, the cancellation of lambda_C, and the derivation of g = 2 from Berry holonomy all follow from the internal geometry without fine-tuning.</w:t>
      </w:r>
    </w:p>
    <w:p w:rsidR="009168E0" w:rsidRDefault="009168E0">
      <w:pPr>
        <w:spacing w:before="160"/>
      </w:pPr>
    </w:p>
    <w:p w:rsidR="009168E0" w:rsidRDefault="00000000">
      <w:pPr>
        <w:pStyle w:val="Heading1"/>
      </w:pPr>
      <w:r>
        <w:t>6. Limitations (Problems Remaining Even If the Bridge Equation Is Proven)</w:t>
      </w:r>
    </w:p>
    <w:p w:rsidR="009168E0" w:rsidRDefault="00000000">
      <w:pPr>
        <w:spacing w:before="180" w:after="60"/>
      </w:pPr>
      <w:r>
        <w:rPr>
          <w:b/>
          <w:bCs/>
        </w:rPr>
        <w:t>Limitation 1: Derivation of non-Abelian gauge groups</w:t>
      </w:r>
    </w:p>
    <w:p w:rsidR="009168E0" w:rsidRDefault="00000000">
      <w:pPr>
        <w:spacing w:before="60" w:after="60"/>
      </w:pPr>
      <w:r>
        <w:t>The current framework treats A_mu as a U(1) Berry connection. How the SU(3) x SU(2) x U(1) structure of the Standard Model arises from this framework is a problem that lies beyond the scope of the bridge equation.</w:t>
      </w:r>
    </w:p>
    <w:p w:rsidR="009168E0" w:rsidRDefault="009168E0">
      <w:pPr>
        <w:spacing w:before="80"/>
      </w:pPr>
    </w:p>
    <w:p w:rsidR="009168E0" w:rsidRDefault="00000000">
      <w:pPr>
        <w:spacing w:before="180" w:after="60"/>
      </w:pPr>
      <w:r>
        <w:rPr>
          <w:b/>
          <w:bCs/>
        </w:rPr>
        <w:t>Limitation 2: Quantization</w:t>
      </w:r>
    </w:p>
    <w:p w:rsidR="009168E0" w:rsidRDefault="00000000">
      <w:pPr>
        <w:spacing w:before="60" w:after="60"/>
      </w:pPr>
      <w:r>
        <w:t xml:space="preserve">S is a classical line integral, not a path integral. Reproducing the predictions of quantum field theory — Lamb shift, higher-order corrections to g - 2, scattering cross sections — requires a </w:t>
      </w:r>
      <w:r>
        <w:lastRenderedPageBreak/>
        <w:t>procedure analogous to quantizing S. The derivation of the gamma-matrix algebra in #50 SS7.3 (open task viii) points in this direction.</w:t>
      </w:r>
    </w:p>
    <w:p w:rsidR="009168E0" w:rsidRDefault="009168E0">
      <w:pPr>
        <w:spacing w:before="80"/>
      </w:pPr>
    </w:p>
    <w:p w:rsidR="009168E0" w:rsidRDefault="00000000">
      <w:pPr>
        <w:spacing w:before="180" w:after="60"/>
      </w:pPr>
      <w:r>
        <w:rPr>
          <w:b/>
          <w:bCs/>
        </w:rPr>
        <w:t>Limitation 3: Experimental discrimination</w:t>
      </w:r>
    </w:p>
    <w:p w:rsidR="009168E0" w:rsidRDefault="00000000">
      <w:pPr>
        <w:spacing w:before="60" w:after="60"/>
      </w:pPr>
      <w:r>
        <w:t>The unification achieved in the best case is structural (both sectors emerge from the same mathematical object) and does not necessarily yield new experimental predictions. Existing physical quantities (v_ZB, X-ray-band ZB frequency prediction) are in principle discriminating, but no experiment directly verifying the bridge equation has been identified to date.</w:t>
      </w:r>
    </w:p>
    <w:p w:rsidR="009168E0" w:rsidRDefault="009168E0">
      <w:pPr>
        <w:spacing w:before="160"/>
      </w:pPr>
    </w:p>
    <w:p w:rsidR="009168E0" w:rsidRDefault="00000000">
      <w:pPr>
        <w:pStyle w:val="Heading1"/>
      </w:pPr>
      <w:r>
        <w:t>7. Conclusion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68E0">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rsidR="009168E0" w:rsidRDefault="00000000">
            <w:pPr>
              <w:spacing w:before="60" w:after="60"/>
            </w:pPr>
            <w:r>
              <w:t xml:space="preserve">The framework is internally consistent in the sense of containing </w:t>
            </w:r>
            <w:r>
              <w:rPr>
                <w:b/>
                <w:bCs/>
              </w:rPr>
              <w:t>no internal contradictions</w:t>
            </w:r>
            <w:r>
              <w:t xml:space="preserve">. The unproven bridge equation represents not a </w:t>
            </w:r>
            <w:r>
              <w:rPr>
                <w:b/>
                <w:bCs/>
              </w:rPr>
              <w:t>failure</w:t>
            </w:r>
            <w:r>
              <w:t xml:space="preserve"> of consistency but an </w:t>
            </w:r>
            <w:r>
              <w:rPr>
                <w:b/>
                <w:bCs/>
              </w:rPr>
              <w:t>incompleteness</w:t>
            </w:r>
            <w:r>
              <w:t>, managed correctly under the methodological convention of the four-paper series (established / proposal / open task).</w:t>
            </w:r>
          </w:p>
        </w:tc>
      </w:tr>
    </w:tbl>
    <w:p w:rsidR="009168E0" w:rsidRDefault="009168E0">
      <w:pPr>
        <w:spacing w:before="80"/>
      </w:pPr>
    </w:p>
    <w:p w:rsidR="009168E0" w:rsidRDefault="00000000">
      <w:pPr>
        <w:spacing w:before="60" w:after="60"/>
      </w:pPr>
      <w:r>
        <w:t xml:space="preserve">What the best case demonstrates is not a </w:t>
      </w:r>
      <w:r>
        <w:rPr>
          <w:b/>
          <w:bCs/>
        </w:rPr>
        <w:t>bridge</w:t>
      </w:r>
      <w:r>
        <w:t xml:space="preserve"> between two existing theories but </w:t>
      </w:r>
      <w:r>
        <w:rPr>
          <w:b/>
          <w:bCs/>
        </w:rPr>
        <w:t>common ground</w:t>
      </w:r>
      <w:r>
        <w:t>: a single phase-history structure from which both descend. If gauge theory and GR are projections of S, the mismatches between them — derivative order, quantization difficulty, non-renormalizability — become comprehensible as differences in the properties of the projection target. That in itself constitutes a sufficient basis for reformulating the quantum gravity problem.</w:t>
      </w:r>
    </w:p>
    <w:p w:rsidR="009168E0" w:rsidRDefault="009168E0">
      <w:pPr>
        <w:spacing w:before="160"/>
      </w:pPr>
    </w:p>
    <w:p w:rsidR="009168E0" w:rsidRDefault="00000000">
      <w:pPr>
        <w:pStyle w:val="Heading1"/>
      </w:pPr>
      <w:r>
        <w:t>Appendix: Open Tasks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213"/>
        <w:gridCol w:w="3213"/>
      </w:tblGrid>
      <w:tr w:rsidR="009168E0">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w:t>
            </w:r>
          </w:p>
        </w:tc>
        <w:tc>
          <w:tcPr>
            <w:tcW w:w="5213"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Question</w:t>
            </w:r>
          </w:p>
        </w:tc>
        <w:tc>
          <w:tcPr>
            <w:tcW w:w="3213" w:type="dxa"/>
            <w:tcBorders>
              <w:top w:val="single" w:sz="1" w:space="0" w:color="AAAAAA"/>
              <w:left w:val="single" w:sz="1" w:space="0" w:color="AAAAAA"/>
              <w:bottom w:val="single" w:sz="1" w:space="0" w:color="AAAAAA"/>
              <w:right w:val="single" w:sz="1" w:space="0" w:color="AAAAAA"/>
            </w:tcBorders>
            <w:shd w:val="clear" w:color="auto" w:fill="1A4A7A"/>
            <w:tcMar>
              <w:top w:w="80" w:type="dxa"/>
              <w:left w:w="120" w:type="dxa"/>
              <w:bottom w:w="80" w:type="dxa"/>
              <w:right w:w="120" w:type="dxa"/>
            </w:tcMar>
          </w:tcPr>
          <w:p w:rsidR="009168E0" w:rsidRDefault="00000000">
            <w:r>
              <w:rPr>
                <w:b/>
                <w:bCs/>
                <w:color w:val="FFFFFF"/>
                <w:sz w:val="20"/>
                <w:szCs w:val="20"/>
              </w:rPr>
              <w:t>Status</w:t>
            </w:r>
          </w:p>
        </w:tc>
      </w:tr>
      <w:tr w:rsidR="009168E0">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(i)</w:t>
            </w:r>
          </w:p>
        </w:tc>
        <w:tc>
          <w:tcPr>
            <w:tcW w:w="5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Explicit computation of g_mu_nu in curved spacetime</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Flat-space check performed; full proof deferred to subsequent work</w:t>
            </w:r>
          </w:p>
        </w:tc>
      </w:tr>
      <w:tr w:rsidR="009168E0">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(ii)</w:t>
            </w:r>
          </w:p>
        </w:tc>
        <w:tc>
          <w:tcPr>
            <w:tcW w:w="52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Bridge equation: F_mu_nu &lt;-&gt; R^mu_nu_rho_sigma</w:t>
            </w:r>
          </w:p>
        </w:tc>
        <w:tc>
          <w:tcPr>
            <w:tcW w:w="32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Appendix open task</w:t>
            </w:r>
          </w:p>
        </w:tc>
      </w:tr>
      <w:tr w:rsidR="009168E0">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(iii)</w:t>
            </w:r>
          </w:p>
        </w:tc>
        <w:tc>
          <w:tcPr>
            <w:tcW w:w="5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Derivation of gamma-matrix algebra from helical line-integral geometry</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Future task</w:t>
            </w:r>
          </w:p>
        </w:tc>
      </w:tr>
      <w:tr w:rsidR="009168E0">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(iv)</w:t>
            </w:r>
          </w:p>
        </w:tc>
        <w:tc>
          <w:tcPr>
            <w:tcW w:w="52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Explicit form of A_mu from first principles</w:t>
            </w:r>
          </w:p>
        </w:tc>
        <w:tc>
          <w:tcPr>
            <w:tcW w:w="3213" w:type="dxa"/>
            <w:tcBorders>
              <w:top w:val="single" w:sz="1" w:space="0" w:color="AAAAAA"/>
              <w:left w:val="single" w:sz="1" w:space="0" w:color="AAAAAA"/>
              <w:bottom w:val="single" w:sz="1" w:space="0" w:color="AAAAAA"/>
              <w:right w:val="single" w:sz="1" w:space="0" w:color="AAAAAA"/>
            </w:tcBorders>
            <w:shd w:val="clear" w:color="auto" w:fill="F2F4F6"/>
            <w:tcMar>
              <w:top w:w="80" w:type="dxa"/>
              <w:left w:w="120" w:type="dxa"/>
              <w:bottom w:w="80" w:type="dxa"/>
              <w:right w:w="120" w:type="dxa"/>
            </w:tcMar>
          </w:tcPr>
          <w:p w:rsidR="009168E0" w:rsidRDefault="00000000">
            <w:pPr>
              <w:spacing w:before="30" w:after="30"/>
            </w:pPr>
            <w:r>
              <w:rPr>
                <w:sz w:val="20"/>
                <w:szCs w:val="20"/>
              </w:rPr>
              <w:t>Key missing link for quantitative predictions</w:t>
            </w:r>
          </w:p>
        </w:tc>
      </w:tr>
      <w:tr w:rsidR="009168E0">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(v)</w:t>
            </w:r>
          </w:p>
        </w:tc>
        <w:tc>
          <w:tcPr>
            <w:tcW w:w="5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Extension to composite systems (hydrogen atom, molecular bound states)</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68E0" w:rsidRDefault="00000000">
            <w:pPr>
              <w:spacing w:before="30" w:after="30"/>
            </w:pPr>
            <w:r>
              <w:rPr>
                <w:sz w:val="20"/>
                <w:szCs w:val="20"/>
              </w:rPr>
              <w:t>New regime of the 0-Sphere framework</w:t>
            </w:r>
          </w:p>
        </w:tc>
      </w:tr>
    </w:tbl>
    <w:p w:rsidR="009168E0" w:rsidRDefault="009168E0">
      <w:pPr>
        <w:spacing w:before="240"/>
      </w:pPr>
    </w:p>
    <w:p w:rsidR="009168E0" w:rsidRDefault="00000000">
      <w:pPr>
        <w:jc w:val="right"/>
      </w:pPr>
      <w:r>
        <w:rPr>
          <w:color w:val="888888"/>
          <w:sz w:val="18"/>
          <w:szCs w:val="18"/>
        </w:rPr>
        <w:t>DOI: 10.5281/zenodo.19489126  |  Satoshi Hanamura, 2026</w:t>
      </w:r>
    </w:p>
    <w:sectPr w:rsidR="009168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roman"/>
    <w:notTrueType/>
    <w:pitch w:val="default"/>
  </w:font>
  <w:font w:name="Calibri Light">
    <w:panose1 w:val="020F0302020204030204"/>
    <w:charset w:val="00"/>
    <w:family w:val="modern"/>
    <w:pitch w:val="variable"/>
    <w:sig w:usb0="00000003" w:usb1="00000000" w:usb2="00000000" w:usb3="00000000" w:csb0="00000001" w:csb1="00000000"/>
  </w:font>
  <w:font w:name="Yu Mincho">
    <w:altName w:val="游明朝"/>
    <w:panose1 w:val="02020400000000000000"/>
    <w:charset w:val="8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4E2D"/>
    <w:multiLevelType w:val="hybridMultilevel"/>
    <w:tmpl w:val="A33EFCF0"/>
    <w:lvl w:ilvl="0" w:tplc="39025178">
      <w:start w:val="1"/>
      <w:numFmt w:val="decimal"/>
      <w:lvlText w:val="%1."/>
      <w:lvlJc w:val="left"/>
      <w:pPr>
        <w:ind w:left="720" w:hanging="360"/>
      </w:pPr>
    </w:lvl>
    <w:lvl w:ilvl="1" w:tplc="FBE4E074">
      <w:numFmt w:val="decimal"/>
      <w:lvlText w:val=""/>
      <w:lvlJc w:val="left"/>
    </w:lvl>
    <w:lvl w:ilvl="2" w:tplc="5A4EC46C">
      <w:numFmt w:val="decimal"/>
      <w:lvlText w:val=""/>
      <w:lvlJc w:val="left"/>
    </w:lvl>
    <w:lvl w:ilvl="3" w:tplc="0712B04A">
      <w:numFmt w:val="decimal"/>
      <w:lvlText w:val=""/>
      <w:lvlJc w:val="left"/>
    </w:lvl>
    <w:lvl w:ilvl="4" w:tplc="B360DD30">
      <w:numFmt w:val="decimal"/>
      <w:lvlText w:val=""/>
      <w:lvlJc w:val="left"/>
    </w:lvl>
    <w:lvl w:ilvl="5" w:tplc="F3E07BC6">
      <w:numFmt w:val="decimal"/>
      <w:lvlText w:val=""/>
      <w:lvlJc w:val="left"/>
    </w:lvl>
    <w:lvl w:ilvl="6" w:tplc="D8060E62">
      <w:numFmt w:val="decimal"/>
      <w:lvlText w:val=""/>
      <w:lvlJc w:val="left"/>
    </w:lvl>
    <w:lvl w:ilvl="7" w:tplc="21CE3C20">
      <w:numFmt w:val="decimal"/>
      <w:lvlText w:val=""/>
      <w:lvlJc w:val="left"/>
    </w:lvl>
    <w:lvl w:ilvl="8" w:tplc="F2E60CCA">
      <w:numFmt w:val="decimal"/>
      <w:lvlText w:val=""/>
      <w:lvlJc w:val="left"/>
    </w:lvl>
  </w:abstractNum>
  <w:abstractNum w:abstractNumId="1" w15:restartNumberingAfterBreak="0">
    <w:nsid w:val="218343DE"/>
    <w:multiLevelType w:val="hybridMultilevel"/>
    <w:tmpl w:val="D416CAE8"/>
    <w:lvl w:ilvl="0" w:tplc="CC2EAC44">
      <w:start w:val="1"/>
      <w:numFmt w:val="bullet"/>
      <w:lvlText w:val="●"/>
      <w:lvlJc w:val="left"/>
      <w:pPr>
        <w:ind w:left="720" w:hanging="360"/>
      </w:pPr>
    </w:lvl>
    <w:lvl w:ilvl="1" w:tplc="5DC0104E">
      <w:start w:val="1"/>
      <w:numFmt w:val="bullet"/>
      <w:lvlText w:val="○"/>
      <w:lvlJc w:val="left"/>
      <w:pPr>
        <w:ind w:left="1440" w:hanging="360"/>
      </w:pPr>
    </w:lvl>
    <w:lvl w:ilvl="2" w:tplc="CD9EA3BC">
      <w:start w:val="1"/>
      <w:numFmt w:val="bullet"/>
      <w:lvlText w:val="■"/>
      <w:lvlJc w:val="left"/>
      <w:pPr>
        <w:ind w:left="2160" w:hanging="360"/>
      </w:pPr>
    </w:lvl>
    <w:lvl w:ilvl="3" w:tplc="EE56F520">
      <w:start w:val="1"/>
      <w:numFmt w:val="bullet"/>
      <w:lvlText w:val="●"/>
      <w:lvlJc w:val="left"/>
      <w:pPr>
        <w:ind w:left="2880" w:hanging="360"/>
      </w:pPr>
    </w:lvl>
    <w:lvl w:ilvl="4" w:tplc="5D064A26">
      <w:start w:val="1"/>
      <w:numFmt w:val="bullet"/>
      <w:lvlText w:val="○"/>
      <w:lvlJc w:val="left"/>
      <w:pPr>
        <w:ind w:left="3600" w:hanging="360"/>
      </w:pPr>
    </w:lvl>
    <w:lvl w:ilvl="5" w:tplc="0686BFA2">
      <w:start w:val="1"/>
      <w:numFmt w:val="bullet"/>
      <w:lvlText w:val="■"/>
      <w:lvlJc w:val="left"/>
      <w:pPr>
        <w:ind w:left="4320" w:hanging="360"/>
      </w:pPr>
    </w:lvl>
    <w:lvl w:ilvl="6" w:tplc="5E40176C">
      <w:start w:val="1"/>
      <w:numFmt w:val="bullet"/>
      <w:lvlText w:val="●"/>
      <w:lvlJc w:val="left"/>
      <w:pPr>
        <w:ind w:left="5040" w:hanging="360"/>
      </w:pPr>
    </w:lvl>
    <w:lvl w:ilvl="7" w:tplc="FFB2F08E">
      <w:start w:val="1"/>
      <w:numFmt w:val="bullet"/>
      <w:lvlText w:val="●"/>
      <w:lvlJc w:val="left"/>
      <w:pPr>
        <w:ind w:left="5760" w:hanging="360"/>
      </w:pPr>
    </w:lvl>
    <w:lvl w:ilvl="8" w:tplc="2B62D3BC">
      <w:start w:val="1"/>
      <w:numFmt w:val="bullet"/>
      <w:lvlText w:val="●"/>
      <w:lvlJc w:val="left"/>
      <w:pPr>
        <w:ind w:left="6480" w:hanging="360"/>
      </w:pPr>
    </w:lvl>
  </w:abstractNum>
  <w:abstractNum w:abstractNumId="2" w15:restartNumberingAfterBreak="0">
    <w:nsid w:val="6D551495"/>
    <w:multiLevelType w:val="hybridMultilevel"/>
    <w:tmpl w:val="8F3469C0"/>
    <w:lvl w:ilvl="0" w:tplc="6A84D886">
      <w:start w:val="1"/>
      <w:numFmt w:val="bullet"/>
      <w:lvlText w:val="•"/>
      <w:lvlJc w:val="left"/>
      <w:pPr>
        <w:ind w:left="720" w:hanging="360"/>
      </w:pPr>
    </w:lvl>
    <w:lvl w:ilvl="1" w:tplc="3300F9E4">
      <w:numFmt w:val="decimal"/>
      <w:lvlText w:val=""/>
      <w:lvlJc w:val="left"/>
    </w:lvl>
    <w:lvl w:ilvl="2" w:tplc="266666B6">
      <w:numFmt w:val="decimal"/>
      <w:lvlText w:val=""/>
      <w:lvlJc w:val="left"/>
    </w:lvl>
    <w:lvl w:ilvl="3" w:tplc="A9C21AB8">
      <w:numFmt w:val="decimal"/>
      <w:lvlText w:val=""/>
      <w:lvlJc w:val="left"/>
    </w:lvl>
    <w:lvl w:ilvl="4" w:tplc="497CA6EC">
      <w:numFmt w:val="decimal"/>
      <w:lvlText w:val=""/>
      <w:lvlJc w:val="left"/>
    </w:lvl>
    <w:lvl w:ilvl="5" w:tplc="3E8CE89C">
      <w:numFmt w:val="decimal"/>
      <w:lvlText w:val=""/>
      <w:lvlJc w:val="left"/>
    </w:lvl>
    <w:lvl w:ilvl="6" w:tplc="50A8B464">
      <w:numFmt w:val="decimal"/>
      <w:lvlText w:val=""/>
      <w:lvlJc w:val="left"/>
    </w:lvl>
    <w:lvl w:ilvl="7" w:tplc="049AC936">
      <w:numFmt w:val="decimal"/>
      <w:lvlText w:val=""/>
      <w:lvlJc w:val="left"/>
    </w:lvl>
    <w:lvl w:ilvl="8" w:tplc="B2AAA71E">
      <w:numFmt w:val="decimal"/>
      <w:lvlText w:val=""/>
      <w:lvlJc w:val="left"/>
    </w:lvl>
  </w:abstractNum>
  <w:num w:numId="1" w16cid:durableId="2003661736">
    <w:abstractNumId w:val="1"/>
    <w:lvlOverride w:ilvl="0">
      <w:startOverride w:val="1"/>
    </w:lvlOverride>
  </w:num>
  <w:num w:numId="2" w16cid:durableId="374625723">
    <w:abstractNumId w:val="0"/>
    <w:lvlOverride w:ilvl="0">
      <w:startOverride w:val="1"/>
    </w:lvlOverride>
  </w:num>
  <w:num w:numId="3" w16cid:durableId="16588000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E0"/>
    <w:rsid w:val="009168E0"/>
    <w:rsid w:val="00E26520"/>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F1A1665"/>
  <w15:docId w15:val="{FB3780BB-FC86-7845-B5BE-EF4E441C3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JP"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4A7A"/>
      <w:sz w:val="32"/>
      <w:szCs w:val="32"/>
    </w:rPr>
  </w:style>
  <w:style w:type="paragraph" w:styleId="Heading2">
    <w:name w:val="heading 2"/>
    <w:uiPriority w:val="9"/>
    <w:unhideWhenUsed/>
    <w:qFormat/>
    <w:pPr>
      <w:spacing w:before="240" w:after="80"/>
      <w:outlineLvl w:val="1"/>
    </w:pPr>
    <w:rPr>
      <w:b/>
      <w:bCs/>
      <w:color w:val="1A4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1701</Words>
  <Characters>9700</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2026-04-11T21:27:00Z</dcterms:created>
  <dcterms:modified xsi:type="dcterms:W3CDTF">2026-04-11T21:34:00Z</dcterms:modified>
</cp:coreProperties>
</file>