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6"/>
      </w:pPr>
      <w:r>
        <w:rPr>
          <w:rFonts w:ascii="Times New Roman" w:hAnsi="Times New Roman"/>
          <w:b/>
          <w:bCs/>
          <w:color w:val="000000"/>
          <w:sz w:val="42"/>
          <w:szCs w:val="42"/>
        </w:rPr>
        <w:t xml:space="preserve">A World Where the Line Integral Is Primary — Why a Free Electron Emits No Gravitational Waves</w:t>
      </w:r>
    </w:p>
    <w:p>
      <w:pPr>
        <w:spacing w:after="112"/>
      </w:pPr>
      <w:r>
        <w:rPr>
          <w:rFonts w:ascii="Arial" w:hAnsi="Arial"/>
          <w:color w:val="666666"/>
          <w:sz w:val="22"/>
          <w:szCs w:val="22"/>
        </w:rPr>
        <w:t xml:space="preserve">The 0-Sphere Model’s Path-Accumulated-Phase Ontology, and Paper #59 as Its Gravitational-Sector Test Case</w:t>
      </w:r>
    </w:p>
    <w:p>
      <w:pPr>
        <w:pBdr>
          <w:bottom w:val="single" w:color="000000" w:sz="12" w:space="8"/>
        </w:pBdr>
        <w:spacing w:after="150"/>
      </w:pPr>
      <w:r>
        <w:rPr>
          <w:rFonts w:ascii="Arial" w:hAnsi="Arial"/>
          <w:color w:val="999999"/>
          <w:sz w:val="17"/>
          <w:szCs w:val="17"/>
        </w:rPr>
        <w:t xml:space="preserve">Satoshi Hanamura | Paper #59 | DOI: 10.5281/zenodo.19932907 | May 2026</w:t>
      </w:r>
    </w:p>
    <w:p>
      <w:pPr>
        <w:pBdr>
          <w:bottom w:val="single" w:color="DDDDDD" w:sz="6" w:space="5"/>
        </w:pBdr>
        <w:spacing w:after="146" w:before="230"/>
      </w:pPr>
      <w:r>
        <w:rPr>
          <w:rFonts w:ascii="Times New Roman" w:hAnsi="Times New Roman"/>
          <w:b/>
          <w:bCs/>
          <w:color w:val="000000"/>
          <w:sz w:val="26"/>
          <w:szCs w:val="26"/>
        </w:rPr>
        <w:t xml:space="preserve">In Brief — A Plain-Language Overview</w:t>
      </w:r>
    </w:p>
    <w:p>
      <w:pPr>
        <w:spacing w:after="136" w:line="266" w:lineRule="auto"/>
        <w:jc w:val="left"/>
      </w:pPr>
      <w:r>
        <w:rPr>
          <w:rFonts w:ascii="Arial" w:hAnsi="Arial"/>
          <w:color w:val="333333"/>
          <w:sz w:val="21"/>
          <w:szCs w:val="21"/>
        </w:rPr>
        <w:t xml:space="preserve">At first glance this paper opens with a strange claim: gravity may not arise directly from “mass itself,” but from tiny internal vibrations inside electrons. In ordinary physics, gravitational waves appear only when a mass distribution changes shape unevenly over time. A perfectly still sphere radiates nothing; a rotating dumbbell does.</w:t>
      </w:r>
    </w:p>
    <w:p>
      <w:pPr>
        <w:spacing w:after="136" w:line="266" w:lineRule="auto"/>
        <w:jc w:val="left"/>
      </w:pPr>
      <w:r>
        <w:rPr>
          <w:rFonts w:ascii="Arial" w:hAnsi="Arial"/>
          <w:color w:val="333333"/>
          <w:sz w:val="21"/>
          <w:szCs w:val="21"/>
        </w:rPr>
        <w:t xml:space="preserve">The 0-Sphere Model holds that an electron contains an ultra-fast internal oscillation called Zitterbewegung (ZB). But a free electron behaves like a sealed, vibrating box: internal motion exists, yet from the outside nothing changes. It therefore emits no observable gravitational radiation — a point the paper takes unusual care to establish.</w:t>
      </w:r>
    </w:p>
    <w:p>
      <w:pPr>
        <w:spacing w:after="136" w:line="266" w:lineRule="auto"/>
        <w:jc w:val="left"/>
      </w:pPr>
      <w:r>
        <w:rPr>
          <w:rFonts w:ascii="Arial" w:hAnsi="Arial"/>
          <w:color w:val="333333"/>
          <w:sz w:val="21"/>
          <w:szCs w:val="21"/>
        </w:rPr>
        <w:t xml:space="preserve">The situation changes when an electron is bound to a proton, as in a hydrogen atom. The proton’s electric pull fixes the electron’s vibration axis along a single direction, giving the system a directional bias. A free electron’s motion is disordered and averages away; a bound electron’s motion is organized and produces a tiny but persistent quadrupole gravitational effect. In this picture the hydrogen atom acts as a microscopic “gravity antenna.”</w:t>
      </w:r>
    </w:p>
    <w:p>
      <w:pPr>
        <w:spacing w:after="150" w:line="266" w:lineRule="auto"/>
        <w:jc w:val="left"/>
      </w:pPr>
      <w:r>
        <w:rPr>
          <w:rFonts w:ascii="Arial" w:hAnsi="Arial"/>
          <w:color w:val="333333"/>
          <w:sz w:val="21"/>
          <w:szCs w:val="21"/>
        </w:rPr>
        <w:t xml:space="preserve">This is the accessible entry point. On a close reading, however, it becomes clear that the real subject is not gravitational waves themselves. The central concern of this paper — and of the series — is an ontology that takes the primary quantity of physics to be not “a field at a point in space” but “phase accumulated along a path.” Gravitational radiation is merely the test case by which that ontology is checked on the gravitational side. The reading below follows this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7FA" w:sz="2"/>
              <w:left w:val="single" w:color="003D82" w:sz="22"/>
              <w:bottom w:val="single" w:color="F5F7FA" w:sz="2"/>
              <w:right w:val="single" w:color="F5F7FA" w:sz="2"/>
            </w:tcBorders>
            <w:shd w:fill="F5F7FA" w:color="auto" w:val="clear"/>
            <w:tcMar>
              <w:top w:type="dxa" w:w="146"/>
              <w:left w:type="dxa" w:w="220"/>
              <w:bottom w:type="dxa" w:w="146"/>
              <w:right w:type="dxa" w:w="200"/>
            </w:tcMar>
          </w:tcPr>
          <w:p>
            <w:pPr>
              <w:spacing w:after="76"/>
            </w:pPr>
            <w:r>
              <w:rPr>
                <w:rFonts w:ascii="Arial" w:hAnsi="Arial"/>
                <w:b/>
                <w:bCs/>
                <w:color w:val="003D82"/>
                <w:spacing w:val="12"/>
                <w:sz w:val="19"/>
                <w:szCs w:val="19"/>
              </w:rPr>
              <w:t xml:space="preserve">CENTRAL THESIS</w:t>
            </w:r>
          </w:p>
          <w:p>
            <w:pPr>
              <w:spacing w:line="266" w:lineRule="auto"/>
              <w:jc w:val="left"/>
            </w:pPr>
            <w:r>
              <w:rPr>
                <w:rFonts w:ascii="Arial" w:hAnsi="Arial"/>
                <w:color w:val="555555"/>
                <w:sz w:val="21"/>
                <w:szCs w:val="21"/>
              </w:rPr>
              <w:t xml:space="preserve">The central concern of this paper is not the explanation of gravitational waves but a line-integral ontology that places the primary quantity of physics in the phase accumulated along a path γ, S(xA, xB). A path variation of this same line integral yields the electromagnetic field F μν; an endpoint variation yields the spacetime metric g μν. That a free electron emits no gravitational waves is not a flaw but the condition under which this ontology remains self-consistent. Paper #59 is a structural proposal that tests this framework on the gravitational side.</w:t>
            </w:r>
          </w:p>
        </w:tc>
      </w:tr>
    </w:tbl>
    <w:p>
      <w:pPr>
        <w:spacing w:after="36"/>
      </w:pPr>
    </w:p>
    <w:p>
      <w:pPr>
        <w:pBdr>
          <w:bottom w:val="single" w:color="DDDDDD" w:sz="6" w:space="5"/>
        </w:pBdr>
        <w:spacing w:after="146" w:before="230"/>
      </w:pPr>
      <w:r>
        <w:rPr>
          <w:rFonts w:ascii="Times New Roman" w:hAnsi="Times New Roman"/>
          <w:b/>
          <w:bCs/>
          <w:color w:val="003D82"/>
          <w:sz w:val="26"/>
          <w:szCs w:val="26"/>
        </w:rPr>
        <w:t xml:space="preserve">§1  </w:t>
      </w:r>
      <w:r>
        <w:rPr>
          <w:rFonts w:ascii="Times New Roman" w:hAnsi="Times New Roman"/>
          <w:b/>
          <w:bCs/>
          <w:color w:val="000000"/>
          <w:sz w:val="26"/>
          <w:szCs w:val="26"/>
        </w:rPr>
        <w:t xml:space="preserve">The Real Subject — Local Field, or Phase Accumulated Along a Path</w:t>
      </w:r>
    </w:p>
    <w:p>
      <w:pPr>
        <w:spacing w:after="136" w:line="266" w:lineRule="auto"/>
        <w:jc w:val="left"/>
      </w:pPr>
      <w:r>
        <w:rPr>
          <w:rFonts w:ascii="Arial" w:hAnsi="Arial"/>
          <w:color w:val="333333"/>
          <w:sz w:val="21"/>
          <w:szCs w:val="21"/>
        </w:rPr>
        <w:t xml:space="preserve">Ordinary physics takes as primary a field φ(x) carrying a value at every point x in space. The 0-Sphere Model adopts the opposite stance. The primary quantity is not a field at a point but the phase accumulated along a path γ — the line integral S(xA, xB). Field values are secondary quantities derived from it.</w:t>
      </w:r>
    </w:p>
    <w:p>
      <w:pPr>
        <w:spacing w:after="136" w:line="266" w:lineRule="auto"/>
        <w:jc w:val="left"/>
      </w:pPr>
      <w:r>
        <w:rPr>
          <w:rFonts w:ascii="Arial" w:hAnsi="Arial"/>
          <w:color w:val="333333"/>
          <w:sz w:val="21"/>
          <w:szCs w:val="21"/>
        </w:rPr>
        <w:t xml:space="preserve">This difference runs philosophically deep. In a local-field theory the history of a trajectory is treated as secondary, whereas in the 0-Sphere Model the accumulation of phase along a trajectory is itself the bearer of physical reality. The series’ attempt to reinterpret the Wilson line, the Berry phase, and the Aharonov–Bohm effect as a single “trajectory-first physics” is a consequence of this stance. That broad reunification, however, is the scope of the series as a whole, not an achievement of Paper #59 alone.</w:t>
      </w:r>
    </w:p>
    <w:p>
      <w:pPr>
        <w:spacing w:after="138" w:line="266" w:lineRule="auto"/>
        <w:jc w:val="left"/>
      </w:pPr>
      <w:r>
        <w:rPr>
          <w:rFonts w:ascii="Arial" w:hAnsi="Arial"/>
          <w:color w:val="333333"/>
          <w:sz w:val="21"/>
          <w:szCs w:val="21"/>
        </w:rPr>
        <w:t xml:space="preserve">The research programme that includes this paper has, broadly, the following layered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DDDDDD" w:sz="2"/>
              <w:left w:val="single" w:color="DDDDDD" w:sz="2"/>
              <w:bottom w:val="single" w:color="DDDDDD" w:sz="2"/>
              <w:right w:val="single" w:color="DDDDDD" w:sz="2"/>
            </w:tcBorders>
            <w:shd w:fill="003D82" w:color="auto" w:val="clear"/>
            <w:tcMar>
              <w:top w:type="dxa" w:w="74"/>
              <w:left w:type="dxa" w:w="110"/>
              <w:bottom w:type="dxa" w:w="74"/>
              <w:right w:type="dxa" w:w="110"/>
            </w:tcMar>
          </w:tcPr>
          <w:p>
            <w:r>
              <w:rPr>
                <w:rFonts w:ascii="Arial" w:hAnsi="Arial"/>
                <w:b/>
                <w:bCs/>
                <w:color w:val="FFFFFF"/>
                <w:spacing w:val="8"/>
                <w:sz w:val="18"/>
                <w:szCs w:val="18"/>
              </w:rPr>
              <w:t xml:space="preserve">Layer</w:t>
            </w:r>
          </w:p>
        </w:tc>
        <w:tc>
          <w:tcPr>
            <w:tcW w:type="dxa" w:w="7660"/>
            <w:tcBorders>
              <w:top w:val="single" w:color="DDDDDD" w:sz="2"/>
              <w:left w:val="single" w:color="DDDDDD" w:sz="2"/>
              <w:bottom w:val="single" w:color="DDDDDD" w:sz="2"/>
              <w:right w:val="single" w:color="DDDDDD" w:sz="2"/>
            </w:tcBorders>
            <w:shd w:fill="003D82" w:color="auto" w:val="clear"/>
            <w:tcMar>
              <w:top w:type="dxa" w:w="74"/>
              <w:left w:type="dxa" w:w="110"/>
              <w:bottom w:type="dxa" w:w="74"/>
              <w:right w:type="dxa" w:w="110"/>
            </w:tcMar>
          </w:tcPr>
          <w:p>
            <w:r>
              <w:rPr>
                <w:rFonts w:ascii="Arial" w:hAnsi="Arial"/>
                <w:b/>
                <w:bCs/>
                <w:color w:val="FFFFFF"/>
                <w:spacing w:val="8"/>
                <w:sz w:val="18"/>
                <w:szCs w:val="18"/>
              </w:rPr>
              <w:t xml:space="preserve">Content</w:t>
            </w:r>
          </w:p>
        </w:tc>
      </w:tr>
      <w:tr>
        <w:tc>
          <w:tcPr>
            <w:tcW w:type="dxa" w:w="170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0" w:lineRule="auto"/>
            </w:pPr>
            <w:r>
              <w:rPr>
                <w:rFonts w:ascii="Arial" w:hAnsi="Arial"/>
                <w:b/>
                <w:bCs/>
                <w:color w:val="000000"/>
                <w:sz w:val="18"/>
                <w:szCs w:val="18"/>
              </w:rPr>
              <w:t xml:space="preserve">Level 1</w:t>
            </w:r>
          </w:p>
        </w:tc>
        <w:tc>
          <w:tcPr>
            <w:tcW w:type="dxa" w:w="766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0" w:lineRule="auto"/>
            </w:pPr>
            <w:r>
              <w:rPr>
                <w:rFonts w:ascii="Arial" w:hAnsi="Arial"/>
                <w:b w:val="false"/>
                <w:bCs w:val="false"/>
                <w:color w:val="333333"/>
                <w:sz w:val="18"/>
                <w:szCs w:val="18"/>
              </w:rPr>
              <w:t xml:space="preserve">The electron’s two-kernel internal structure (two-kernel geometry)</w:t>
            </w:r>
          </w:p>
        </w:tc>
      </w:tr>
      <w:tr>
        <w:tc>
          <w:tcPr>
            <w:tcW w:type="dxa" w:w="170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0" w:lineRule="auto"/>
            </w:pPr>
            <w:r>
              <w:rPr>
                <w:rFonts w:ascii="Arial" w:hAnsi="Arial"/>
                <w:b/>
                <w:bCs/>
                <w:color w:val="000000"/>
                <w:sz w:val="18"/>
                <w:szCs w:val="18"/>
              </w:rPr>
              <w:t xml:space="preserve">Level 2</w:t>
            </w:r>
          </w:p>
        </w:tc>
        <w:tc>
          <w:tcPr>
            <w:tcW w:type="dxa" w:w="766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0" w:lineRule="auto"/>
            </w:pPr>
            <w:r>
              <w:rPr>
                <w:rFonts w:ascii="Arial" w:hAnsi="Arial"/>
                <w:b w:val="false"/>
                <w:bCs w:val="false"/>
                <w:color w:val="333333"/>
                <w:sz w:val="18"/>
                <w:szCs w:val="18"/>
              </w:rPr>
              <w:t xml:space="preserve">The helical trajectory — Berry phase and the anomalous magnetic moment</w:t>
            </w:r>
          </w:p>
        </w:tc>
      </w:tr>
      <w:tr>
        <w:tc>
          <w:tcPr>
            <w:tcW w:type="dxa" w:w="170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0" w:lineRule="auto"/>
            </w:pPr>
            <w:r>
              <w:rPr>
                <w:rFonts w:ascii="Arial" w:hAnsi="Arial"/>
                <w:b/>
                <w:bCs/>
                <w:color w:val="000000"/>
                <w:sz w:val="18"/>
                <w:szCs w:val="18"/>
              </w:rPr>
              <w:t xml:space="preserve">Level 3</w:t>
            </w:r>
          </w:p>
        </w:tc>
        <w:tc>
          <w:tcPr>
            <w:tcW w:type="dxa" w:w="766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0" w:lineRule="auto"/>
            </w:pPr>
            <w:r>
              <w:rPr>
                <w:rFonts w:ascii="Arial" w:hAnsi="Arial"/>
                <w:b w:val="false"/>
                <w:bCs w:val="false"/>
                <w:color w:val="333333"/>
                <w:sz w:val="18"/>
                <w:szCs w:val="18"/>
              </w:rPr>
              <w:t xml:space="preserve">The line-integral ontology — path-accumulated phase as the primary quantity</w:t>
            </w:r>
          </w:p>
        </w:tc>
      </w:tr>
      <w:tr>
        <w:tc>
          <w:tcPr>
            <w:tcW w:type="dxa" w:w="170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0" w:lineRule="auto"/>
            </w:pPr>
            <w:r>
              <w:rPr>
                <w:rFonts w:ascii="Arial" w:hAnsi="Arial"/>
                <w:b/>
                <w:bCs/>
                <w:color w:val="000000"/>
                <w:sz w:val="18"/>
                <w:szCs w:val="18"/>
              </w:rPr>
              <w:t xml:space="preserve">Level 4</w:t>
            </w:r>
          </w:p>
        </w:tc>
        <w:tc>
          <w:tcPr>
            <w:tcW w:type="dxa" w:w="766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0" w:lineRule="auto"/>
            </w:pPr>
            <w:r>
              <w:rPr>
                <w:rFonts w:ascii="Arial" w:hAnsi="Arial"/>
                <w:b w:val="false"/>
                <w:bCs w:val="false"/>
                <w:color w:val="333333"/>
                <w:sz w:val="18"/>
                <w:szCs w:val="18"/>
              </w:rPr>
              <w:t xml:space="preserve">Electromagnetism = path variation; gravity = endpoint variation</w:t>
            </w:r>
          </w:p>
        </w:tc>
      </w:tr>
      <w:tr>
        <w:tc>
          <w:tcPr>
            <w:tcW w:type="dxa" w:w="170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0" w:lineRule="auto"/>
            </w:pPr>
            <w:r>
              <w:rPr>
                <w:rFonts w:ascii="Arial" w:hAnsi="Arial"/>
                <w:b/>
                <w:bCs/>
                <w:color w:val="000000"/>
                <w:sz w:val="18"/>
                <w:szCs w:val="18"/>
              </w:rPr>
              <w:t xml:space="preserve">Level 5</w:t>
            </w:r>
          </w:p>
        </w:tc>
        <w:tc>
          <w:tcPr>
            <w:tcW w:type="dxa" w:w="766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0" w:lineRule="auto"/>
            </w:pPr>
            <w:r>
              <w:rPr>
                <w:rFonts w:ascii="Arial" w:hAnsi="Arial"/>
                <w:b w:val="false"/>
                <w:bCs w:val="false"/>
                <w:color w:val="333333"/>
                <w:sz w:val="18"/>
                <w:szCs w:val="18"/>
              </w:rPr>
              <w:t xml:space="preserve">Quadrupole gravity arises only from externally varying endpoints</w:t>
            </w:r>
          </w:p>
        </w:tc>
      </w:tr>
    </w:tbl>
    <w:p>
      <w:pPr>
        <w:spacing w:after="36"/>
      </w:pPr>
    </w:p>
    <w:p>
      <w:pPr>
        <w:pBdr>
          <w:bottom w:val="single" w:color="DDDDDD" w:sz="6" w:space="5"/>
        </w:pBdr>
        <w:spacing w:after="146" w:before="230"/>
      </w:pPr>
      <w:r>
        <w:rPr>
          <w:rFonts w:ascii="Times New Roman" w:hAnsi="Times New Roman"/>
          <w:b/>
          <w:bCs/>
          <w:color w:val="003D82"/>
          <w:sz w:val="26"/>
          <w:szCs w:val="26"/>
        </w:rPr>
        <w:t xml:space="preserve">§2  </w:t>
      </w:r>
      <w:r>
        <w:rPr>
          <w:rFonts w:ascii="Times New Roman" w:hAnsi="Times New Roman"/>
          <w:b/>
          <w:bCs/>
          <w:color w:val="000000"/>
          <w:sz w:val="26"/>
          <w:szCs w:val="26"/>
        </w:rPr>
        <w:t xml:space="preserve">The Electron as Internal Geometry</w:t>
      </w:r>
    </w:p>
    <w:p>
      <w:pPr>
        <w:spacing w:after="136" w:line="266" w:lineRule="auto"/>
        <w:jc w:val="left"/>
      </w:pPr>
      <w:r>
        <w:rPr>
          <w:rFonts w:ascii="Arial" w:hAnsi="Arial"/>
          <w:color w:val="333333"/>
          <w:sz w:val="21"/>
          <w:szCs w:val="21"/>
        </w:rPr>
        <w:t xml:space="preserve">The series treats the electron not as a point particle but as a system with internal structure. Two internal kernels (Kernel A and Kernel B) are joined by a photon sphere, and within it an ultra-fast oscillatory motion, Zitterbewegung (ZB), occurs. The system further traces a helical trajectory; its rotational structure gives rise to the Berry phase, and the non-closure of the trajectory gives rise to the anomalous magnetic moment a_e. The essential point is that the trajectory does not close. The ZB axis precesses by ∆φ = 2π a_e each cycle, and the outbound path A→B is not the inverse of the return path B→A′. This non-closure is the source of the directional bias that appears later.</w:t>
      </w:r>
    </w:p>
    <w:p>
      <w:pPr>
        <w:pBdr>
          <w:bottom w:val="single" w:color="DDDDDD" w:sz="6" w:space="5"/>
        </w:pBdr>
        <w:spacing w:after="146" w:before="230"/>
      </w:pPr>
      <w:r>
        <w:rPr>
          <w:rFonts w:ascii="Times New Roman" w:hAnsi="Times New Roman"/>
          <w:b/>
          <w:bCs/>
          <w:color w:val="003D82"/>
          <w:sz w:val="26"/>
          <w:szCs w:val="26"/>
        </w:rPr>
        <w:t xml:space="preserve">§3  </w:t>
      </w:r>
      <w:r>
        <w:rPr>
          <w:rFonts w:ascii="Times New Roman" w:hAnsi="Times New Roman"/>
          <w:b/>
          <w:bCs/>
          <w:color w:val="000000"/>
          <w:sz w:val="26"/>
          <w:szCs w:val="26"/>
        </w:rPr>
        <w:t xml:space="preserve">One Line Integral, Two Variations</w:t>
      </w:r>
    </w:p>
    <w:p>
      <w:pPr>
        <w:spacing w:after="130" w:line="266" w:lineRule="auto"/>
        <w:jc w:val="left"/>
      </w:pPr>
      <w:r>
        <w:rPr>
          <w:rFonts w:ascii="Arial" w:hAnsi="Arial"/>
          <w:color w:val="333333"/>
          <w:sz w:val="21"/>
          <w:szCs w:val="21"/>
        </w:rPr>
        <w:t xml:space="preserve">The core of the paper is §IV. Applied to the phase-accumulation line integral S(xA, xB), two kinds of variation generate two distinct physical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9F9F9" w:color="auto" w:val="clear"/>
            <w:tcMar>
              <w:top w:type="dxa" w:w="140"/>
              <w:left w:type="dxa" w:w="160"/>
              <w:bottom w:type="dxa" w:w="132"/>
              <w:right w:type="dxa" w:w="160"/>
            </w:tcMar>
          </w:tcPr>
          <w:p>
            <w:pPr>
              <w:spacing w:after="54"/>
              <w:jc w:val="center"/>
            </w:pPr>
            <w:r>
              <w:rPr>
                <w:rFonts w:ascii="Arial" w:hAnsi="Arial"/>
                <w:color w:val="000000"/>
                <w:sz w:val="21"/>
                <w:szCs w:val="21"/>
              </w:rPr>
              <w:t xml:space="preserve">δ</w:t>
            </w:r>
            <w:r>
              <w:rPr>
                <w:rFonts w:ascii="Arial" w:hAnsi="Arial"/>
                <w:color w:val="000000"/>
                <w:sz w:val="14"/>
                <w:szCs w:val="14"/>
                <w:vertAlign w:val="subscript"/>
              </w:rPr>
              <w:t xml:space="preserve">path</w:t>
            </w:r>
            <w:r>
              <w:rPr>
                <w:rFonts w:ascii="Arial" w:hAnsi="Arial"/>
                <w:color w:val="000000"/>
                <w:sz w:val="21"/>
                <w:szCs w:val="21"/>
              </w:rPr>
              <w:t xml:space="preserve"> S → F</w:t>
            </w:r>
            <w:r>
              <w:rPr>
                <w:rFonts w:ascii="Arial" w:hAnsi="Arial"/>
                <w:color w:val="000000"/>
                <w:sz w:val="14"/>
                <w:szCs w:val="14"/>
                <w:vertAlign w:val="subscript"/>
              </w:rPr>
              <w:t xml:space="preserve">μν</w:t>
            </w:r>
          </w:p>
          <w:p>
            <w:pPr>
              <w:spacing w:after="76"/>
              <w:jc w:val="center"/>
            </w:pPr>
            <w:r>
              <w:rPr>
                <w:rFonts w:ascii="Arial" w:hAnsi="Arial"/>
                <w:color w:val="000000"/>
                <w:sz w:val="21"/>
                <w:szCs w:val="21"/>
              </w:rPr>
              <w:t xml:space="preserve">δ</w:t>
            </w:r>
            <w:r>
              <w:rPr>
                <w:rFonts w:ascii="Arial" w:hAnsi="Arial"/>
                <w:color w:val="000000"/>
                <w:sz w:val="14"/>
                <w:szCs w:val="14"/>
                <w:vertAlign w:val="subscript"/>
              </w:rPr>
              <w:t xml:space="preserve">endpoint</w:t>
            </w:r>
            <w:r>
              <w:rPr>
                <w:rFonts w:ascii="Arial" w:hAnsi="Arial"/>
                <w:color w:val="000000"/>
                <w:sz w:val="21"/>
                <w:szCs w:val="21"/>
              </w:rPr>
              <w:t xml:space="preserve"> S → g</w:t>
            </w:r>
            <w:r>
              <w:rPr>
                <w:rFonts w:ascii="Arial" w:hAnsi="Arial"/>
                <w:color w:val="000000"/>
                <w:sz w:val="14"/>
                <w:szCs w:val="14"/>
                <w:vertAlign w:val="subscript"/>
              </w:rPr>
              <w:t xml:space="preserve">μν</w:t>
            </w:r>
          </w:p>
          <w:p>
            <w:pPr>
              <w:jc w:val="center"/>
            </w:pPr>
            <w:r>
              <w:rPr>
                <w:rFonts w:ascii="Arial" w:hAnsi="Arial"/>
                <w:i/>
                <w:iCs/>
                <w:color w:val="666666"/>
                <w:sz w:val="16"/>
                <w:szCs w:val="16"/>
              </w:rPr>
              <w:t xml:space="preserve">Two variations of one and the same line integral yield electromagnetism and gravity, respectively</w:t>
            </w:r>
          </w:p>
        </w:tc>
      </w:tr>
    </w:tbl>
    <w:p>
      <w:pPr>
        <w:spacing w:after="64"/>
      </w:pPr>
    </w:p>
    <w:p>
      <w:pPr>
        <w:spacing w:after="136" w:line="266" w:lineRule="auto"/>
        <w:jc w:val="left"/>
      </w:pPr>
      <w:r>
        <w:rPr>
          <w:rFonts w:ascii="Arial" w:hAnsi="Arial"/>
          <w:color w:val="333333"/>
          <w:sz w:val="21"/>
          <w:szCs w:val="21"/>
        </w:rPr>
        <w:t xml:space="preserve">A path variation — deforming the path while holding the endpoints fixed — yields the field strength F μν and corresponds to the electromagnetic sector. An endpoint variation — displacing the endpoints themselves within external spacetime — yields the spacetime metric g μν and corresponds to the gravitational sector. Electromagnetism and gravity are not separate fields but appear in a unified way as distinct variational operations on one and the same line integral. This is the series’ true ambition, and Paper #59 realizes it on the gravitational side.</w:t>
      </w:r>
    </w:p>
    <w:p>
      <w:pPr>
        <w:pBdr>
          <w:bottom w:val="single" w:color="DDDDDD" w:sz="6" w:space="5"/>
        </w:pBdr>
        <w:spacing w:after="146" w:before="230"/>
      </w:pPr>
      <w:r>
        <w:rPr>
          <w:rFonts w:ascii="Times New Roman" w:hAnsi="Times New Roman"/>
          <w:b/>
          <w:bCs/>
          <w:color w:val="003D82"/>
          <w:sz w:val="26"/>
          <w:szCs w:val="26"/>
        </w:rPr>
        <w:t xml:space="preserve">§4  </w:t>
      </w:r>
      <w:r>
        <w:rPr>
          <w:rFonts w:ascii="Times New Roman" w:hAnsi="Times New Roman"/>
          <w:b/>
          <w:bCs/>
          <w:color w:val="000000"/>
          <w:sz w:val="26"/>
          <w:szCs w:val="26"/>
        </w:rPr>
        <w:t xml:space="preserve">Why a Free Electron Emits No Gravitational Waves — a Validity Condition</w:t>
      </w:r>
    </w:p>
    <w:p>
      <w:pPr>
        <w:spacing w:after="108" w:line="266" w:lineRule="auto"/>
        <w:jc w:val="left"/>
      </w:pPr>
      <w:r>
        <w:rPr>
          <w:rFonts w:ascii="Arial" w:hAnsi="Arial"/>
          <w:color w:val="333333"/>
          <w:sz w:val="21"/>
          <w:szCs w:val="21"/>
        </w:rPr>
        <w:t xml:space="preserve">Here it becomes clear that the suppression for a free electron is not merely an interesting fact but a condition for the theory’s consistency. Inside a free electron a path variation exists (the internal ZB motion). But there is no endpoint variation relative to external spacetime. The positions of the two kernels are carried rigidly with the center of mass, and the endpoints do not change relative to external reference points.</w:t>
      </w:r>
    </w:p>
    <w:p>
      <w:pPr>
        <w:spacing w:after="150" w:before="96"/>
        <w:jc w:val="center"/>
      </w:pPr>
      <w:r>
        <w:rPr>
          <w:rFonts w:ascii="Arial" w:hAnsi="Arial"/>
          <w:color w:val="000000"/>
          <w:sz w:val="21"/>
          <w:szCs w:val="21"/>
        </w:rPr>
        <w:t xml:space="preserve">δ</w:t>
      </w:r>
      <w:r>
        <w:rPr>
          <w:rFonts w:ascii="Arial" w:hAnsi="Arial"/>
          <w:color w:val="000000"/>
          <w:sz w:val="14"/>
          <w:szCs w:val="14"/>
          <w:vertAlign w:val="subscript"/>
        </w:rPr>
        <w:t xml:space="preserve">endpoint</w:t>
      </w:r>
      <w:r>
        <w:rPr>
          <w:rFonts w:ascii="Arial" w:hAnsi="Arial"/>
          <w:color w:val="000000"/>
          <w:sz w:val="14"/>
          <w:szCs w:val="14"/>
          <w:vertAlign w:val="superscript"/>
        </w:rPr>
        <w:t xml:space="preserve">(ext)</w:t>
      </w:r>
      <w:r>
        <w:rPr>
          <w:rFonts w:ascii="Arial" w:hAnsi="Arial"/>
          <w:color w:val="000000"/>
          <w:sz w:val="21"/>
          <w:szCs w:val="21"/>
        </w:rPr>
        <w:t xml:space="preserve"> S = 0 ⇒ δg</w:t>
      </w:r>
      <w:r>
        <w:rPr>
          <w:rFonts w:ascii="Arial" w:hAnsi="Arial"/>
          <w:color w:val="000000"/>
          <w:sz w:val="14"/>
          <w:szCs w:val="14"/>
          <w:vertAlign w:val="subscript"/>
        </w:rPr>
        <w:t xml:space="preserve">μν</w:t>
      </w:r>
      <w:r>
        <w:rPr>
          <w:rFonts w:ascii="Arial" w:hAnsi="Arial"/>
          <w:color w:val="000000"/>
          <w:sz w:val="14"/>
          <w:szCs w:val="14"/>
          <w:vertAlign w:val="superscript"/>
        </w:rPr>
        <w:t xml:space="preserve">(ext)</w:t>
      </w:r>
      <w:r>
        <w:rPr>
          <w:rFonts w:ascii="Arial" w:hAnsi="Arial"/>
          <w:color w:val="000000"/>
          <w:sz w:val="21"/>
          <w:szCs w:val="21"/>
        </w:rPr>
        <w:t xml:space="preserve"> = 0</w:t>
      </w:r>
    </w:p>
    <w:p>
      <w:pPr>
        <w:spacing w:after="136" w:line="266" w:lineRule="auto"/>
        <w:jc w:val="left"/>
      </w:pPr>
      <w:r>
        <w:rPr>
          <w:rFonts w:ascii="Arial" w:hAnsi="Arial"/>
          <w:color w:val="333333"/>
          <w:sz w:val="21"/>
          <w:szCs w:val="21"/>
        </w:rPr>
        <w:t xml:space="preserve">That is, the externally observable mass distribution does not change, and no dynamic external metric is generated. The free electron is a “closed capsule” — however violently it vibrates inside, from the outside it is an unchanging lump. If internal motion immediately produced gravitational radiation, the theory would collapse. That a free electron does not radiate is a requirement for the line-integral ontology to remain self-consistent.</w:t>
      </w:r>
    </w:p>
    <w:p>
      <w:pPr>
        <w:pBdr>
          <w:bottom w:val="single" w:color="DDDDDD" w:sz="6" w:space="5"/>
        </w:pBdr>
        <w:spacing w:after="146" w:before="230"/>
      </w:pPr>
      <w:r>
        <w:rPr>
          <w:rFonts w:ascii="Times New Roman" w:hAnsi="Times New Roman"/>
          <w:b/>
          <w:bCs/>
          <w:color w:val="003D82"/>
          <w:sz w:val="26"/>
          <w:szCs w:val="26"/>
        </w:rPr>
        <w:t xml:space="preserve">§5  </w:t>
      </w:r>
      <w:r>
        <w:rPr>
          <w:rFonts w:ascii="Times New Roman" w:hAnsi="Times New Roman"/>
          <w:b/>
          <w:bCs/>
          <w:color w:val="000000"/>
          <w:sz w:val="26"/>
          <w:szCs w:val="26"/>
        </w:rPr>
        <w:t xml:space="preserve">The Proton Enables Endpoint Variation — Axis Locking and the Hydrogen Antenna</w:t>
      </w:r>
    </w:p>
    <w:p>
      <w:pPr>
        <w:spacing w:after="130" w:line="266" w:lineRule="auto"/>
        <w:jc w:val="left"/>
      </w:pPr>
      <w:r>
        <w:rPr>
          <w:rFonts w:ascii="Arial" w:hAnsi="Arial"/>
          <w:color w:val="333333"/>
          <w:sz w:val="21"/>
          <w:szCs w:val="21"/>
        </w:rPr>
        <w:t xml:space="preserve">The proton plays a dual role. First, its Coulomb potential fixes the electron’s ZB axis along the proton–electron direction (axis locking). This is expressed as the Coulomb contribution to the turning-point energy asymmetry, given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9F9F9" w:color="auto" w:val="clear"/>
            <w:tcMar>
              <w:top w:type="dxa" w:w="140"/>
              <w:left w:type="dxa" w:w="160"/>
              <w:bottom w:type="dxa" w:w="132"/>
              <w:right w:type="dxa" w:w="160"/>
            </w:tcMar>
          </w:tcPr>
          <w:p>
            <w:pPr>
              <w:spacing w:after="76"/>
              <w:jc w:val="center"/>
            </w:pPr>
            <w:r>
              <w:rPr>
                <w:rFonts w:ascii="Arial" w:hAnsi="Arial"/>
                <w:color w:val="000000"/>
                <w:sz w:val="21"/>
                <w:szCs w:val="21"/>
              </w:rPr>
              <w:t xml:space="preserve">δE</w:t>
            </w:r>
            <w:r>
              <w:rPr>
                <w:rFonts w:ascii="Arial" w:hAnsi="Arial"/>
                <w:color w:val="000000"/>
                <w:sz w:val="14"/>
                <w:szCs w:val="14"/>
                <w:vertAlign w:val="subscript"/>
              </w:rPr>
              <w:t xml:space="preserve">Coulomb</w:t>
            </w:r>
            <w:r>
              <w:rPr>
                <w:rFonts w:ascii="Arial" w:hAnsi="Arial"/>
                <w:color w:val="000000"/>
                <w:sz w:val="21"/>
                <w:szCs w:val="21"/>
              </w:rPr>
              <w:t xml:space="preserve">(ê)  =  − e</w:t>
            </w:r>
            <w:r>
              <w:rPr>
                <w:rFonts w:ascii="Arial" w:hAnsi="Arial"/>
                <w:color w:val="000000"/>
                <w:sz w:val="14"/>
                <w:szCs w:val="14"/>
                <w:vertAlign w:val="superscript"/>
              </w:rPr>
              <w:t xml:space="preserve">2</w:t>
            </w:r>
            <w:r>
              <w:rPr>
                <w:rFonts w:ascii="Arial" w:hAnsi="Arial"/>
                <w:color w:val="000000"/>
                <w:sz w:val="21"/>
                <w:szCs w:val="21"/>
              </w:rPr>
              <w:t xml:space="preserve"> / (4πε</w:t>
            </w:r>
            <w:r>
              <w:rPr>
                <w:rFonts w:ascii="Arial" w:hAnsi="Arial"/>
                <w:color w:val="000000"/>
                <w:sz w:val="14"/>
                <w:szCs w:val="14"/>
                <w:vertAlign w:val="subscript"/>
              </w:rPr>
              <w:t xml:space="preserve">0</w:t>
            </w:r>
            <w:r>
              <w:rPr>
                <w:rFonts w:ascii="Arial" w:hAnsi="Arial"/>
                <w:color w:val="000000"/>
                <w:sz w:val="21"/>
                <w:szCs w:val="21"/>
              </w:rPr>
              <w:t xml:space="preserve"> r</w:t>
            </w:r>
            <w:r>
              <w:rPr>
                <w:rFonts w:ascii="Arial" w:hAnsi="Arial"/>
                <w:color w:val="000000"/>
                <w:sz w:val="14"/>
                <w:szCs w:val="14"/>
                <w:vertAlign w:val="superscript"/>
              </w:rPr>
              <w:t xml:space="preserve">2</w:t>
            </w:r>
            <w:r>
              <w:rPr>
                <w:rFonts w:ascii="Arial" w:hAnsi="Arial"/>
                <w:color w:val="000000"/>
                <w:sz w:val="21"/>
                <w:szCs w:val="21"/>
              </w:rPr>
              <w:t xml:space="preserve">) (r̂ · ê) λ</w:t>
            </w:r>
            <w:r>
              <w:rPr>
                <w:rFonts w:ascii="Arial" w:hAnsi="Arial"/>
                <w:color w:val="000000"/>
                <w:sz w:val="14"/>
                <w:szCs w:val="14"/>
                <w:vertAlign w:val="subscript"/>
              </w:rPr>
              <w:t xml:space="preserve">C</w:t>
            </w:r>
            <w:r>
              <w:rPr>
                <w:rFonts w:ascii="Arial" w:hAnsi="Arial"/>
                <w:color w:val="000000"/>
                <w:sz w:val="14"/>
                <w:szCs w:val="14"/>
                <w:vertAlign w:val="superscript"/>
              </w:rPr>
              <w:t xml:space="preserve">(e)</w:t>
            </w:r>
          </w:p>
          <w:p>
            <w:pPr>
              <w:jc w:val="center"/>
            </w:pPr>
            <w:r>
              <w:rPr>
                <w:rFonts w:ascii="Arial" w:hAnsi="Arial"/>
                <w:i/>
                <w:iCs/>
                <w:color w:val="666666"/>
                <w:sz w:val="16"/>
                <w:szCs w:val="16"/>
              </w:rPr>
              <w:t xml:space="preserve">The Coulomb asymmetry that draws the ZB axis ê toward the proton–electron direction r̂</w:t>
            </w:r>
          </w:p>
        </w:tc>
      </w:tr>
    </w:tbl>
    <w:p>
      <w:pPr>
        <w:spacing w:after="64"/>
      </w:pPr>
    </w:p>
    <w:p>
      <w:pPr>
        <w:spacing w:after="108" w:line="266" w:lineRule="auto"/>
        <w:jc w:val="left"/>
      </w:pPr>
      <w:r>
        <w:rPr>
          <w:rFonts w:ascii="Arial" w:hAnsi="Arial"/>
          <w:color w:val="333333"/>
          <w:sz w:val="21"/>
          <w:szCs w:val="21"/>
        </w:rPr>
        <w:t xml:space="preserve">This asymmetry acts along the proton–electron direction r̂ and draws the previously unfixed ZB axis into convergence along a single direction. Second, and more fundamentally, the electron’s orbital motion supplies a genuine endpoint variation. As the electron travels around the proton, the endpoints of the line integral (the kernel positions) sweep through the orbital volume.</w:t>
      </w:r>
    </w:p>
    <w:p>
      <w:pPr>
        <w:spacing w:after="150" w:before="96"/>
        <w:jc w:val="center"/>
      </w:pPr>
      <w:r>
        <w:rPr>
          <w:rFonts w:ascii="Arial" w:hAnsi="Arial"/>
          <w:color w:val="000000"/>
          <w:sz w:val="21"/>
          <w:szCs w:val="21"/>
        </w:rPr>
        <w:t xml:space="preserve">δ</w:t>
      </w:r>
      <w:r>
        <w:rPr>
          <w:rFonts w:ascii="Arial" w:hAnsi="Arial"/>
          <w:color w:val="000000"/>
          <w:sz w:val="14"/>
          <w:szCs w:val="14"/>
          <w:vertAlign w:val="subscript"/>
        </w:rPr>
        <w:t xml:space="preserve">endpoint</w:t>
      </w:r>
      <w:r>
        <w:rPr>
          <w:rFonts w:ascii="Arial" w:hAnsi="Arial"/>
          <w:color w:val="000000"/>
          <w:sz w:val="14"/>
          <w:szCs w:val="14"/>
          <w:vertAlign w:val="superscript"/>
        </w:rPr>
        <w:t xml:space="preserve">(ext)</w:t>
      </w:r>
      <w:r>
        <w:rPr>
          <w:rFonts w:ascii="Arial" w:hAnsi="Arial"/>
          <w:color w:val="000000"/>
          <w:sz w:val="21"/>
          <w:szCs w:val="21"/>
        </w:rPr>
        <w:t xml:space="preserve"> S</w:t>
      </w:r>
      <w:r>
        <w:rPr>
          <w:rFonts w:ascii="Arial" w:hAnsi="Arial"/>
          <w:color w:val="000000"/>
          <w:sz w:val="14"/>
          <w:szCs w:val="14"/>
          <w:vertAlign w:val="subscript"/>
        </w:rPr>
        <w:t xml:space="preserve">H</w:t>
      </w:r>
      <w:r>
        <w:rPr>
          <w:rFonts w:ascii="Arial" w:hAnsi="Arial"/>
          <w:color w:val="000000"/>
          <w:sz w:val="21"/>
          <w:szCs w:val="21"/>
        </w:rPr>
        <w:t xml:space="preserve"> ≠ 0 ⇒ δg</w:t>
      </w:r>
      <w:r>
        <w:rPr>
          <w:rFonts w:ascii="Arial" w:hAnsi="Arial"/>
          <w:color w:val="000000"/>
          <w:sz w:val="14"/>
          <w:szCs w:val="14"/>
          <w:vertAlign w:val="subscript"/>
        </w:rPr>
        <w:t xml:space="preserve">μν</w:t>
      </w:r>
      <w:r>
        <w:rPr>
          <w:rFonts w:ascii="Arial" w:hAnsi="Arial"/>
          <w:color w:val="000000"/>
          <w:sz w:val="14"/>
          <w:szCs w:val="14"/>
          <w:vertAlign w:val="superscript"/>
        </w:rPr>
        <w:t xml:space="preserve">(ext)</w:t>
      </w:r>
      <w:r>
        <w:rPr>
          <w:rFonts w:ascii="Arial" w:hAnsi="Arial"/>
          <w:color w:val="000000"/>
          <w:sz w:val="21"/>
          <w:szCs w:val="21"/>
        </w:rPr>
        <w:t xml:space="preserve"> ≠ 0</w:t>
      </w:r>
    </w:p>
    <w:p>
      <w:pPr>
        <w:spacing w:after="138" w:line="266" w:lineRule="auto"/>
        <w:jc w:val="left"/>
      </w:pPr>
      <w:r>
        <w:rPr>
          <w:rFonts w:ascii="Arial" w:hAnsi="Arial"/>
          <w:color w:val="333333"/>
          <w:sz w:val="21"/>
          <w:szCs w:val="21"/>
        </w:rPr>
        <w:t xml:space="preserve">A dynamic external metric — quadrupole gravitational radiation — is thereby generated. The contrast between a free and a bound electron is shown in the table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80"/>
        <w:gridCol w:w="3360"/>
        <w:gridCol w:w="3620"/>
      </w:tblGrid>
      <w:tr>
        <w:trPr>
          <w:tblHeader/>
        </w:trPr>
        <w:tc>
          <w:tcPr>
            <w:tcW w:type="dxa" w:w="2380"/>
            <w:tcBorders>
              <w:top w:val="single" w:color="DDDDDD" w:sz="2"/>
              <w:left w:val="single" w:color="DDDDDD" w:sz="2"/>
              <w:bottom w:val="single" w:color="DDDDDD" w:sz="2"/>
              <w:right w:val="single" w:color="DDDDDD" w:sz="2"/>
            </w:tcBorders>
            <w:shd w:fill="003D82" w:color="auto" w:val="clear"/>
            <w:tcMar>
              <w:top w:type="dxa" w:w="74"/>
              <w:left w:type="dxa" w:w="110"/>
              <w:bottom w:type="dxa" w:w="74"/>
              <w:right w:type="dxa" w:w="110"/>
            </w:tcMar>
          </w:tcPr>
          <w:p>
            <w:r>
              <w:rPr>
                <w:rFonts w:ascii="Arial" w:hAnsi="Arial"/>
                <w:b/>
                <w:bCs/>
                <w:color w:val="FFFFFF"/>
                <w:spacing w:val="8"/>
                <w:sz w:val="18"/>
                <w:szCs w:val="18"/>
              </w:rPr>
              <w:t xml:space="preserve">Aspect</w:t>
            </w:r>
          </w:p>
        </w:tc>
        <w:tc>
          <w:tcPr>
            <w:tcW w:type="dxa" w:w="3360"/>
            <w:tcBorders>
              <w:top w:val="single" w:color="DDDDDD" w:sz="2"/>
              <w:left w:val="single" w:color="DDDDDD" w:sz="2"/>
              <w:bottom w:val="single" w:color="DDDDDD" w:sz="2"/>
              <w:right w:val="single" w:color="DDDDDD" w:sz="2"/>
            </w:tcBorders>
            <w:shd w:fill="003D82" w:color="auto" w:val="clear"/>
            <w:tcMar>
              <w:top w:type="dxa" w:w="74"/>
              <w:left w:type="dxa" w:w="110"/>
              <w:bottom w:type="dxa" w:w="74"/>
              <w:right w:type="dxa" w:w="110"/>
            </w:tcMar>
          </w:tcPr>
          <w:p>
            <w:r>
              <w:rPr>
                <w:rFonts w:ascii="Arial" w:hAnsi="Arial"/>
                <w:b/>
                <w:bCs/>
                <w:color w:val="FFFFFF"/>
                <w:spacing w:val="8"/>
                <w:sz w:val="18"/>
                <w:szCs w:val="18"/>
              </w:rPr>
              <w:t xml:space="preserve">Free Electron</w:t>
            </w:r>
          </w:p>
        </w:tc>
        <w:tc>
          <w:tcPr>
            <w:tcW w:type="dxa" w:w="3620"/>
            <w:tcBorders>
              <w:top w:val="single" w:color="DDDDDD" w:sz="2"/>
              <w:left w:val="single" w:color="DDDDDD" w:sz="2"/>
              <w:bottom w:val="single" w:color="DDDDDD" w:sz="2"/>
              <w:right w:val="single" w:color="DDDDDD" w:sz="2"/>
            </w:tcBorders>
            <w:shd w:fill="003D82" w:color="auto" w:val="clear"/>
            <w:tcMar>
              <w:top w:type="dxa" w:w="74"/>
              <w:left w:type="dxa" w:w="110"/>
              <w:bottom w:type="dxa" w:w="74"/>
              <w:right w:type="dxa" w:w="110"/>
            </w:tcMar>
          </w:tcPr>
          <w:p>
            <w:r>
              <w:rPr>
                <w:rFonts w:ascii="Arial" w:hAnsi="Arial"/>
                <w:b/>
                <w:bCs/>
                <w:color w:val="FFFFFF"/>
                <w:spacing w:val="8"/>
                <w:sz w:val="18"/>
                <w:szCs w:val="18"/>
              </w:rPr>
              <w:t xml:space="preserve">Bound Electron (Hydrogen Atom)</w:t>
            </w:r>
          </w:p>
        </w:tc>
      </w:tr>
      <w:tr>
        <w:tc>
          <w:tcPr>
            <w:tcW w:type="dxa" w:w="238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0" w:lineRule="auto"/>
            </w:pPr>
            <w:r>
              <w:rPr>
                <w:rFonts w:ascii="Arial" w:hAnsi="Arial"/>
                <w:b/>
                <w:bCs/>
                <w:color w:val="000000"/>
                <w:sz w:val="18"/>
                <w:szCs w:val="18"/>
              </w:rPr>
              <w:t xml:space="preserve">Endpoint variation</w:t>
            </w:r>
          </w:p>
        </w:tc>
        <w:tc>
          <w:tcPr>
            <w:tcW w:type="dxa" w:w="336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0" w:lineRule="auto"/>
            </w:pPr>
            <w:r>
              <w:rPr>
                <w:rFonts w:ascii="Arial" w:hAnsi="Arial"/>
                <w:b w:val="false"/>
                <w:bCs w:val="false"/>
                <w:color w:val="333333"/>
                <w:sz w:val="18"/>
                <w:szCs w:val="18"/>
              </w:rPr>
              <w:t xml:space="preserve">None relative to external spacetime (δ = 0)</w:t>
            </w:r>
          </w:p>
        </w:tc>
        <w:tc>
          <w:tcPr>
            <w:tcW w:type="dxa" w:w="362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0" w:lineRule="auto"/>
            </w:pPr>
            <w:r>
              <w:rPr>
                <w:rFonts w:ascii="Arial" w:hAnsi="Arial"/>
                <w:b w:val="false"/>
                <w:bCs w:val="false"/>
                <w:color w:val="333333"/>
                <w:sz w:val="18"/>
                <w:szCs w:val="18"/>
              </w:rPr>
              <w:t xml:space="preserve">Supplied by orbital motion (δ ≠ 0)</w:t>
            </w:r>
          </w:p>
        </w:tc>
      </w:tr>
      <w:tr>
        <w:tc>
          <w:tcPr>
            <w:tcW w:type="dxa" w:w="238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0" w:lineRule="auto"/>
            </w:pPr>
            <w:r>
              <w:rPr>
                <w:rFonts w:ascii="Arial" w:hAnsi="Arial"/>
                <w:b/>
                <w:bCs/>
                <w:color w:val="000000"/>
                <w:sz w:val="18"/>
                <w:szCs w:val="18"/>
              </w:rPr>
              <w:t xml:space="preserve">ZB axis direction</w:t>
            </w:r>
          </w:p>
        </w:tc>
        <w:tc>
          <w:tcPr>
            <w:tcW w:type="dxa" w:w="336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0" w:lineRule="auto"/>
            </w:pPr>
            <w:r>
              <w:rPr>
                <w:rFonts w:ascii="Arial" w:hAnsi="Arial"/>
                <w:b w:val="false"/>
                <w:bCs w:val="false"/>
                <w:color w:val="333333"/>
                <w:sz w:val="18"/>
                <w:szCs w:val="18"/>
              </w:rPr>
              <w:t xml:space="preserve">Precesses; never fixed</w:t>
            </w:r>
          </w:p>
        </w:tc>
        <w:tc>
          <w:tcPr>
            <w:tcW w:type="dxa" w:w="362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0" w:lineRule="auto"/>
            </w:pPr>
            <w:r>
              <w:rPr>
                <w:rFonts w:ascii="Arial" w:hAnsi="Arial"/>
                <w:b w:val="false"/>
                <w:bCs w:val="false"/>
                <w:color w:val="333333"/>
                <w:sz w:val="18"/>
                <w:szCs w:val="18"/>
              </w:rPr>
              <w:t xml:space="preserve">Locked to proton–electron direction r̂</w:t>
            </w:r>
          </w:p>
        </w:tc>
      </w:tr>
      <w:tr>
        <w:tc>
          <w:tcPr>
            <w:tcW w:type="dxa" w:w="238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0" w:lineRule="auto"/>
            </w:pPr>
            <w:r>
              <w:rPr>
                <w:rFonts w:ascii="Arial" w:hAnsi="Arial"/>
                <w:b/>
                <w:bCs/>
                <w:color w:val="000000"/>
                <w:sz w:val="18"/>
                <w:szCs w:val="18"/>
              </w:rPr>
              <w:t xml:space="preserve">External metric</w:t>
            </w:r>
          </w:p>
        </w:tc>
        <w:tc>
          <w:tcPr>
            <w:tcW w:type="dxa" w:w="336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0" w:lineRule="auto"/>
            </w:pPr>
            <w:r>
              <w:rPr>
                <w:rFonts w:ascii="Arial" w:hAnsi="Arial"/>
                <w:b w:val="false"/>
                <w:bCs w:val="false"/>
                <w:color w:val="333333"/>
                <w:sz w:val="18"/>
                <w:szCs w:val="18"/>
              </w:rPr>
              <w:t xml:space="preserve">No dynamic change (closed capsule)</w:t>
            </w:r>
          </w:p>
        </w:tc>
        <w:tc>
          <w:tcPr>
            <w:tcW w:type="dxa" w:w="362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0" w:lineRule="auto"/>
            </w:pPr>
            <w:r>
              <w:rPr>
                <w:rFonts w:ascii="Arial" w:hAnsi="Arial"/>
                <w:b w:val="false"/>
                <w:bCs w:val="false"/>
                <w:color w:val="333333"/>
                <w:sz w:val="18"/>
                <w:szCs w:val="18"/>
              </w:rPr>
              <w:t xml:space="preserve">A dynamic g μν is generated</w:t>
            </w:r>
          </w:p>
        </w:tc>
      </w:tr>
      <w:tr>
        <w:tc>
          <w:tcPr>
            <w:tcW w:type="dxa" w:w="238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0" w:lineRule="auto"/>
            </w:pPr>
            <w:r>
              <w:rPr>
                <w:rFonts w:ascii="Arial" w:hAnsi="Arial"/>
                <w:b/>
                <w:bCs/>
                <w:color w:val="000000"/>
                <w:sz w:val="18"/>
                <w:szCs w:val="18"/>
              </w:rPr>
              <w:t xml:space="preserve">Gravitational-wave emission</w:t>
            </w:r>
          </w:p>
        </w:tc>
        <w:tc>
          <w:tcPr>
            <w:tcW w:type="dxa" w:w="336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0" w:lineRule="auto"/>
            </w:pPr>
            <w:r>
              <w:rPr>
                <w:rFonts w:ascii="Arial" w:hAnsi="Arial"/>
                <w:b w:val="false"/>
                <w:bCs w:val="false"/>
                <w:color w:val="333333"/>
                <w:sz w:val="18"/>
                <w:szCs w:val="18"/>
              </w:rPr>
              <w:t xml:space="preserve">Effectively suppressed (a validity condition)</w:t>
            </w:r>
          </w:p>
        </w:tc>
        <w:tc>
          <w:tcPr>
            <w:tcW w:type="dxa" w:w="362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0" w:lineRule="auto"/>
            </w:pPr>
            <w:r>
              <w:rPr>
                <w:rFonts w:ascii="Arial" w:hAnsi="Arial"/>
                <w:b w:val="false"/>
                <w:bCs w:val="false"/>
                <w:color w:val="333333"/>
                <w:sz w:val="18"/>
                <w:szCs w:val="18"/>
              </w:rPr>
              <w:t xml:space="preserve">Minute but non-zero; directional</w:t>
            </w:r>
          </w:p>
        </w:tc>
      </w:tr>
    </w:tbl>
    <w:p>
      <w:pPr>
        <w:spacing w:after="64"/>
      </w:pPr>
    </w:p>
    <w:p>
      <w:pPr>
        <w:spacing w:after="136" w:line="266" w:lineRule="auto"/>
        <w:jc w:val="left"/>
      </w:pPr>
      <w:r>
        <w:rPr>
          <w:rFonts w:ascii="Arial" w:hAnsi="Arial"/>
          <w:color w:val="333333"/>
          <w:sz w:val="21"/>
          <w:szCs w:val="21"/>
        </w:rPr>
        <w:t xml:space="preserve">Gravitational-wave radiation arises not from the free electron itself but from a bound system that enables endpoint variation. The hydrogen atom is the minimal test case in which the line-integral ontology yields a non-zero result on the gravitational side.</w:t>
      </w:r>
    </w:p>
    <w:p>
      <w:pPr>
        <w:pBdr>
          <w:bottom w:val="single" w:color="DDDDDD" w:sz="6" w:space="5"/>
        </w:pBdr>
        <w:spacing w:after="146" w:before="230"/>
      </w:pPr>
      <w:r>
        <w:rPr>
          <w:rFonts w:ascii="Times New Roman" w:hAnsi="Times New Roman"/>
          <w:b/>
          <w:bCs/>
          <w:color w:val="003D82"/>
          <w:sz w:val="26"/>
          <w:szCs w:val="26"/>
        </w:rPr>
        <w:t xml:space="preserve">§6  </w:t>
      </w:r>
      <w:r>
        <w:rPr>
          <w:rFonts w:ascii="Times New Roman" w:hAnsi="Times New Roman"/>
          <w:b/>
          <w:bCs/>
          <w:color w:val="000000"/>
          <w:sz w:val="26"/>
          <w:szCs w:val="26"/>
        </w:rPr>
        <w:t xml:space="preserve">Phase Stability — a Topological Reset, Not External Synchronization</w:t>
      </w:r>
    </w:p>
    <w:p>
      <w:pPr>
        <w:spacing w:after="136" w:line="266" w:lineRule="auto"/>
        <w:jc w:val="left"/>
      </w:pPr>
      <w:r>
        <w:rPr>
          <w:rFonts w:ascii="Arial" w:hAnsi="Arial"/>
          <w:color w:val="333333"/>
          <w:sz w:val="21"/>
          <w:szCs w:val="21"/>
        </w:rPr>
        <w:t xml:space="preserve">For the quadrupole oscillation to accumulate across cycles, its phase must be stable. The author does not invoke external coherence (phase synchronization). The electron’s internal motion has a 4π period, and at each half-period θ = nπ the energy returns entirely to one kernel, becoming a definite energy eigenstate. The phase is reset at this boundary and does not drift across cycles. The paper calls this mechanism the 4π-cycle boundary condition, grounding it in the internal energy identity of Paper #1.</w:t>
      </w:r>
    </w:p>
    <w:p>
      <w:pPr>
        <w:spacing w:after="136" w:line="266" w:lineRule="auto"/>
        <w:jc w:val="left"/>
      </w:pPr>
      <w:r>
        <w:rPr>
          <w:rFonts w:ascii="Arial" w:hAnsi="Arial"/>
          <w:color w:val="333333"/>
          <w:sz w:val="21"/>
          <w:szCs w:val="21"/>
        </w:rPr>
        <w:t xml:space="preserve">Here too the line-integral ontology is consistent. Because a local-field theory treats trajectory history as secondary, it seeks phase stability in “synchronization from outside.” The 0-Sphere Model instead derives phase stability from a boundary condition of the trajectory — a topological reset. It is “phase reset from topology,” not “phase coherence from outside.” Appendix A takes this contrast as its subject and is therefore not a mere supplement but a place where the series’ philosophy surfaces.</w:t>
      </w:r>
    </w:p>
    <w:p>
      <w:pPr>
        <w:pBdr>
          <w:bottom w:val="single" w:color="DDDDDD" w:sz="6" w:space="5"/>
        </w:pBdr>
        <w:spacing w:after="146" w:before="230"/>
      </w:pPr>
      <w:r>
        <w:rPr>
          <w:rFonts w:ascii="Times New Roman" w:hAnsi="Times New Roman"/>
          <w:b/>
          <w:bCs/>
          <w:color w:val="003D82"/>
          <w:sz w:val="26"/>
          <w:szCs w:val="26"/>
        </w:rPr>
        <w:t xml:space="preserve">§7  </w:t>
      </w:r>
      <w:r>
        <w:rPr>
          <w:rFonts w:ascii="Times New Roman" w:hAnsi="Times New Roman"/>
          <w:b/>
          <w:bCs/>
          <w:color w:val="000000"/>
          <w:sz w:val="26"/>
          <w:szCs w:val="26"/>
        </w:rPr>
        <w:t xml:space="preserve">Why Quadrupole; the Directional Separation of Gravity and Electromagnetism</w:t>
      </w:r>
    </w:p>
    <w:p>
      <w:pPr>
        <w:spacing w:after="138" w:line="266" w:lineRule="auto"/>
        <w:jc w:val="left"/>
      </w:pPr>
      <w:r>
        <w:rPr>
          <w:rFonts w:ascii="Arial" w:hAnsi="Arial"/>
          <w:color w:val="333333"/>
          <w:sz w:val="21"/>
          <w:szCs w:val="21"/>
        </w:rPr>
        <w:t xml:space="preserve">Why gravity is quadrupole is consistent with standard theory. Mass-energy is always positive, so the monopole (total mass) is conserved and does not radiate, and the dipole (center-of-mass motion) does not radiate by conservation of momentum. The lowest multipole that can radiate is therefore the quadrupole. The three directions of the internal helical motion are also assigned distinct physical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2660"/>
        <w:gridCol w:w="4080"/>
      </w:tblGrid>
      <w:tr>
        <w:trPr>
          <w:tblHeader/>
        </w:trPr>
        <w:tc>
          <w:tcPr>
            <w:tcW w:type="dxa" w:w="2620"/>
            <w:tcBorders>
              <w:top w:val="single" w:color="DDDDDD" w:sz="2"/>
              <w:left w:val="single" w:color="DDDDDD" w:sz="2"/>
              <w:bottom w:val="single" w:color="DDDDDD" w:sz="2"/>
              <w:right w:val="single" w:color="DDDDDD" w:sz="2"/>
            </w:tcBorders>
            <w:shd w:fill="003D82" w:color="auto" w:val="clear"/>
            <w:tcMar>
              <w:top w:type="dxa" w:w="74"/>
              <w:left w:type="dxa" w:w="110"/>
              <w:bottom w:type="dxa" w:w="74"/>
              <w:right w:type="dxa" w:w="110"/>
            </w:tcMar>
          </w:tcPr>
          <w:p>
            <w:r>
              <w:rPr>
                <w:rFonts w:ascii="Arial" w:hAnsi="Arial"/>
                <w:b/>
                <w:bCs/>
                <w:color w:val="FFFFFF"/>
                <w:spacing w:val="8"/>
                <w:sz w:val="18"/>
                <w:szCs w:val="18"/>
              </w:rPr>
              <w:t xml:space="preserve">Direction</w:t>
            </w:r>
          </w:p>
        </w:tc>
        <w:tc>
          <w:tcPr>
            <w:tcW w:type="dxa" w:w="2660"/>
            <w:tcBorders>
              <w:top w:val="single" w:color="DDDDDD" w:sz="2"/>
              <w:left w:val="single" w:color="DDDDDD" w:sz="2"/>
              <w:bottom w:val="single" w:color="DDDDDD" w:sz="2"/>
              <w:right w:val="single" w:color="DDDDDD" w:sz="2"/>
            </w:tcBorders>
            <w:shd w:fill="003D82" w:color="auto" w:val="clear"/>
            <w:tcMar>
              <w:top w:type="dxa" w:w="74"/>
              <w:left w:type="dxa" w:w="110"/>
              <w:bottom w:type="dxa" w:w="74"/>
              <w:right w:type="dxa" w:w="110"/>
            </w:tcMar>
          </w:tcPr>
          <w:p>
            <w:r>
              <w:rPr>
                <w:rFonts w:ascii="Arial" w:hAnsi="Arial"/>
                <w:b/>
                <w:bCs/>
                <w:color w:val="FFFFFF"/>
                <w:spacing w:val="8"/>
                <w:sz w:val="18"/>
                <w:szCs w:val="18"/>
              </w:rPr>
              <w:t xml:space="preserve">Physical Sector</w:t>
            </w:r>
          </w:p>
        </w:tc>
        <w:tc>
          <w:tcPr>
            <w:tcW w:type="dxa" w:w="4080"/>
            <w:tcBorders>
              <w:top w:val="single" w:color="DDDDDD" w:sz="2"/>
              <w:left w:val="single" w:color="DDDDDD" w:sz="2"/>
              <w:bottom w:val="single" w:color="DDDDDD" w:sz="2"/>
              <w:right w:val="single" w:color="DDDDDD" w:sz="2"/>
            </w:tcBorders>
            <w:shd w:fill="003D82" w:color="auto" w:val="clear"/>
            <w:tcMar>
              <w:top w:type="dxa" w:w="74"/>
              <w:left w:type="dxa" w:w="110"/>
              <w:bottom w:type="dxa" w:w="74"/>
              <w:right w:type="dxa" w:w="110"/>
            </w:tcMar>
          </w:tcPr>
          <w:p>
            <w:r>
              <w:rPr>
                <w:rFonts w:ascii="Arial" w:hAnsi="Arial"/>
                <w:b/>
                <w:bCs/>
                <w:color w:val="FFFFFF"/>
                <w:spacing w:val="8"/>
                <w:sz w:val="18"/>
                <w:szCs w:val="18"/>
              </w:rPr>
              <w:t xml:space="preserve">Driving Mechanism</w:t>
            </w:r>
          </w:p>
        </w:tc>
      </w:tr>
      <w:tr>
        <w:tc>
          <w:tcPr>
            <w:tcW w:type="dxa" w:w="262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0" w:lineRule="auto"/>
            </w:pPr>
            <w:r>
              <w:rPr>
                <w:rFonts w:ascii="Arial" w:hAnsi="Arial"/>
                <w:b/>
                <w:bCs/>
                <w:color w:val="000000"/>
                <w:sz w:val="18"/>
                <w:szCs w:val="18"/>
              </w:rPr>
              <w:t xml:space="preserve">êₓ (velocity direction)</w:t>
            </w:r>
          </w:p>
        </w:tc>
        <w:tc>
          <w:tcPr>
            <w:tcW w:type="dxa" w:w="266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0" w:lineRule="auto"/>
            </w:pPr>
            <w:r>
              <w:rPr>
                <w:rFonts w:ascii="Arial" w:hAnsi="Arial"/>
                <w:b w:val="false"/>
                <w:bCs w:val="false"/>
                <w:color w:val="333333"/>
                <w:sz w:val="18"/>
                <w:szCs w:val="18"/>
              </w:rPr>
              <w:t xml:space="preserve">Gravitational sector</w:t>
            </w:r>
          </w:p>
        </w:tc>
        <w:tc>
          <w:tcPr>
            <w:tcW w:type="dxa" w:w="408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0" w:lineRule="auto"/>
            </w:pPr>
            <w:r>
              <w:rPr>
                <w:rFonts w:ascii="Arial" w:hAnsi="Arial"/>
                <w:b w:val="false"/>
                <w:bCs w:val="false"/>
                <w:color w:val="333333"/>
                <w:sz w:val="18"/>
                <w:szCs w:val="18"/>
              </w:rPr>
              <w:t xml:space="preserve">Turning-point asymmetry (endpoint variation)</w:t>
            </w:r>
          </w:p>
        </w:tc>
      </w:tr>
      <w:tr>
        <w:tc>
          <w:tcPr>
            <w:tcW w:type="dxa" w:w="262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0" w:lineRule="auto"/>
            </w:pPr>
            <w:r>
              <w:rPr>
                <w:rFonts w:ascii="Arial" w:hAnsi="Arial"/>
                <w:b/>
                <w:bCs/>
                <w:color w:val="000000"/>
                <w:sz w:val="18"/>
                <w:szCs w:val="18"/>
              </w:rPr>
              <w:t xml:space="preserve">êᵧ (acceleration direction)</w:t>
            </w:r>
          </w:p>
        </w:tc>
        <w:tc>
          <w:tcPr>
            <w:tcW w:type="dxa" w:w="266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0" w:lineRule="auto"/>
            </w:pPr>
            <w:r>
              <w:rPr>
                <w:rFonts w:ascii="Arial" w:hAnsi="Arial"/>
                <w:b w:val="false"/>
                <w:bCs w:val="false"/>
                <w:color w:val="333333"/>
                <w:sz w:val="18"/>
                <w:szCs w:val="18"/>
              </w:rPr>
              <w:t xml:space="preserve">Electromagnetic sector</w:t>
            </w:r>
          </w:p>
        </w:tc>
        <w:tc>
          <w:tcPr>
            <w:tcW w:type="dxa" w:w="408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0" w:lineRule="auto"/>
            </w:pPr>
            <w:r>
              <w:rPr>
                <w:rFonts w:ascii="Arial" w:hAnsi="Arial"/>
                <w:b w:val="false"/>
                <w:bCs w:val="false"/>
                <w:color w:val="333333"/>
                <w:sz w:val="18"/>
                <w:szCs w:val="18"/>
              </w:rPr>
              <w:t xml:space="preserve">Centripetal acceleration of the photon sphere (path variation; Larmor radiation)</w:t>
            </w:r>
          </w:p>
        </w:tc>
      </w:tr>
      <w:tr>
        <w:tc>
          <w:tcPr>
            <w:tcW w:type="dxa" w:w="262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0" w:lineRule="auto"/>
            </w:pPr>
            <w:r>
              <w:rPr>
                <w:rFonts w:ascii="Arial" w:hAnsi="Arial"/>
                <w:b/>
                <w:bCs/>
                <w:color w:val="000000"/>
                <w:sz w:val="18"/>
                <w:szCs w:val="18"/>
              </w:rPr>
              <w:t xml:space="preserve">ê_z</w:t>
            </w:r>
          </w:p>
        </w:tc>
        <w:tc>
          <w:tcPr>
            <w:tcW w:type="dxa" w:w="266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0" w:lineRule="auto"/>
            </w:pPr>
            <w:r>
              <w:rPr>
                <w:rFonts w:ascii="Arial" w:hAnsi="Arial"/>
                <w:b w:val="false"/>
                <w:bCs w:val="false"/>
                <w:color w:val="333333"/>
                <w:sz w:val="18"/>
                <w:szCs w:val="18"/>
              </w:rPr>
              <w:t xml:space="preserve">Spinorial sector</w:t>
            </w:r>
          </w:p>
        </w:tc>
        <w:tc>
          <w:tcPr>
            <w:tcW w:type="dxa" w:w="408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0" w:lineRule="auto"/>
            </w:pPr>
            <w:r>
              <w:rPr>
                <w:rFonts w:ascii="Arial" w:hAnsi="Arial"/>
                <w:b w:val="false"/>
                <w:bCs w:val="false"/>
                <w:color w:val="333333"/>
                <w:sz w:val="18"/>
                <w:szCs w:val="18"/>
              </w:rPr>
              <w:t xml:space="preserve">Thomas precession (Berry phase)</w:t>
            </w:r>
          </w:p>
        </w:tc>
      </w:tr>
    </w:tbl>
    <w:p>
      <w:pPr>
        <w:spacing w:after="64"/>
      </w:pPr>
    </w:p>
    <w:p>
      <w:pPr>
        <w:spacing w:after="136" w:line="266" w:lineRule="auto"/>
        <w:jc w:val="left"/>
      </w:pPr>
      <w:r>
        <w:rPr>
          <w:rFonts w:ascii="Arial" w:hAnsi="Arial"/>
          <w:color w:val="333333"/>
          <w:sz w:val="21"/>
          <w:szCs w:val="21"/>
        </w:rPr>
        <w:t xml:space="preserve">Gravity (êₓ) and electromagnetism (êᵧ) are not coupled within the internal dynamics and share no coupling channel. This follows from the two-variation structure of §3 and provides a microscopic explanation for the well-known fact that gravitational waves pass almost transparently through electromagnetic fields.</w:t>
      </w:r>
    </w:p>
    <w:p>
      <w:pPr>
        <w:pBdr>
          <w:bottom w:val="single" w:color="DDDDDD" w:sz="6" w:space="5"/>
        </w:pBdr>
        <w:spacing w:after="146" w:before="230"/>
      </w:pPr>
      <w:r>
        <w:rPr>
          <w:rFonts w:ascii="Times New Roman" w:hAnsi="Times New Roman"/>
          <w:b/>
          <w:bCs/>
          <w:color w:val="003D82"/>
          <w:sz w:val="26"/>
          <w:szCs w:val="26"/>
        </w:rPr>
        <w:t xml:space="preserve">§8  </w:t>
      </w:r>
      <w:r>
        <w:rPr>
          <w:rFonts w:ascii="Times New Roman" w:hAnsi="Times New Roman"/>
          <w:b/>
          <w:bCs/>
          <w:color w:val="000000"/>
          <w:sz w:val="26"/>
          <w:szCs w:val="26"/>
        </w:rPr>
        <w:t xml:space="preserve">Extension to the Proton’s Internal Structure (Speculative)</w:t>
      </w:r>
    </w:p>
    <w:p>
      <w:pPr>
        <w:spacing w:after="136" w:line="266" w:lineRule="auto"/>
        <w:jc w:val="left"/>
      </w:pPr>
      <w:r>
        <w:rPr>
          <w:rFonts w:ascii="Arial" w:hAnsi="Arial"/>
          <w:color w:val="333333"/>
          <w:sz w:val="21"/>
          <w:szCs w:val="21"/>
        </w:rPr>
        <w:t xml:space="preserve">The paper’s second half touches on an attempt to map the proton’s internal quark structure, gluons, and confinement onto the 0-Sphere framework. As one candidate correspondence, the two up quarks are treated as the carriers of ZB and the down quark as the mediator of an effective energy structure analogous to the photon sphere. The author repeatedly states that this mapping is speculative, and at present it remains at the level of an idea.</w:t>
      </w:r>
    </w:p>
    <w:p>
      <w:pPr>
        <w:pBdr>
          <w:bottom w:val="single" w:color="DDDDDD" w:sz="6" w:space="5"/>
        </w:pBdr>
        <w:spacing w:after="146" w:before="230"/>
      </w:pPr>
      <w:r>
        <w:rPr>
          <w:rFonts w:ascii="Times New Roman" w:hAnsi="Times New Roman"/>
          <w:b/>
          <w:bCs/>
          <w:color w:val="003D82"/>
          <w:sz w:val="26"/>
          <w:szCs w:val="26"/>
        </w:rPr>
        <w:t xml:space="preserve">§9  </w:t>
      </w:r>
      <w:r>
        <w:rPr>
          <w:rFonts w:ascii="Times New Roman" w:hAnsi="Times New Roman"/>
          <w:b/>
          <w:bCs/>
          <w:color w:val="000000"/>
          <w:sz w:val="26"/>
          <w:szCs w:val="26"/>
        </w:rPr>
        <w:t xml:space="preserve">Standing — a Strong Ontology and an Unfinished Bridge</w:t>
      </w:r>
    </w:p>
    <w:p>
      <w:pPr>
        <w:spacing w:after="136" w:line="266" w:lineRule="auto"/>
        <w:jc w:val="left"/>
      </w:pPr>
      <w:r>
        <w:rPr>
          <w:rFonts w:ascii="Arial" w:hAnsi="Arial"/>
          <w:color w:val="333333"/>
          <w:sz w:val="21"/>
          <w:szCs w:val="21"/>
        </w:rPr>
        <w:t xml:space="preserve">This paper is not a formal extension of the Standard Model, QED, or general relativity. Its strength lies in its ontology. The stance of placing the primary quantity of physics in path-accumulated phase runs consistently through the whole series. This is also why Appendices A and B are not mere supplements but the places where the series’ philosophy appears most concentrated.</w:t>
      </w:r>
    </w:p>
    <w:p>
      <w:pPr>
        <w:spacing w:after="150" w:line="266" w:lineRule="auto"/>
        <w:jc w:val="left"/>
      </w:pPr>
      <w:r>
        <w:rPr>
          <w:rFonts w:ascii="Arial" w:hAnsi="Arial"/>
          <w:color w:val="333333"/>
          <w:sz w:val="21"/>
          <w:szCs w:val="21"/>
        </w:rPr>
        <w:t xml:space="preserve">It is worth noting that the field-theoretic framework itself carries an unresolved problem of its own — the predicted vacuum energy density departs from the observed value by roughly 120 orders of magnitude — so that moving away from a field ontology is, in part, a response to difficulties of this kind.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7FA" w:sz="2"/>
              <w:left w:val="single" w:color="003D82" w:sz="22"/>
              <w:bottom w:val="single" w:color="F5F7FA" w:sz="2"/>
              <w:right w:val="single" w:color="F5F7FA" w:sz="2"/>
            </w:tcBorders>
            <w:shd w:fill="F5F7FA" w:color="auto" w:val="clear"/>
            <w:tcMar>
              <w:top w:type="dxa" w:w="146"/>
              <w:left w:type="dxa" w:w="220"/>
              <w:bottom w:type="dxa" w:w="146"/>
              <w:right w:type="dxa" w:w="200"/>
            </w:tcMar>
          </w:tcPr>
          <w:p>
            <w:pPr>
              <w:spacing w:after="76"/>
            </w:pPr>
            <w:r>
              <w:rPr>
                <w:rFonts w:ascii="Arial" w:hAnsi="Arial"/>
                <w:b/>
                <w:bCs/>
                <w:color w:val="003D82"/>
                <w:spacing w:val="12"/>
                <w:sz w:val="19"/>
                <w:szCs w:val="19"/>
              </w:rPr>
              <w:t xml:space="preserve">POSITIONING — A STRUCTURAL PROPOSAL</w:t>
            </w:r>
          </w:p>
          <w:p>
            <w:pPr>
              <w:spacing w:line="266" w:lineRule="auto"/>
              <w:jc w:val="left"/>
            </w:pPr>
            <w:r>
              <w:rPr>
                <w:rFonts w:ascii="Arial" w:hAnsi="Arial"/>
                <w:color w:val="555555"/>
                <w:sz w:val="21"/>
                <w:szCs w:val="21"/>
              </w:rPr>
              <w:t xml:space="preserve">The principal challenge is equally clear. The line-integral framework has not yet established the correspondence — the bridge — by which it reproduces the empirically confirmed content currently expressed in field-theoretic language (gauge invariance, Lorentz covariance, scattering amplitudes, the established spectra) without itself reverting to a field ontology. What is required is not to “descend” to a field theory but to make the empirical results obtained in field-theoretic language checkable against the line-integral framework. The paper itself records this as open task (C). Paper #59 is most accurately read as one test case that probes that ontology on the gravitational side.</w:t>
            </w:r>
          </w:p>
        </w:tc>
      </w:tr>
    </w:tbl>
    <w:p>
      <w:pPr>
        <w:spacing w:after="36"/>
      </w:pPr>
    </w:p>
    <w:p>
      <w:pPr>
        <w:pBdr>
          <w:bottom w:val="single" w:color="DDDDDD" w:sz="6" w:space="5"/>
        </w:pBdr>
        <w:spacing w:after="146" w:before="230"/>
      </w:pPr>
      <w:r>
        <w:rPr>
          <w:rFonts w:ascii="Times New Roman" w:hAnsi="Times New Roman"/>
          <w:b/>
          <w:bCs/>
          <w:color w:val="000000"/>
          <w:sz w:val="26"/>
          <w:szCs w:val="26"/>
        </w:rPr>
        <w:t xml:space="preserve">Key Terms — A Quick Reference</w:t>
      </w:r>
    </w:p>
    <w:p>
      <w:pPr>
        <w:spacing w:after="138" w:line="266" w:lineRule="auto"/>
        <w:jc w:val="left"/>
      </w:pPr>
      <w:r>
        <w:rPr>
          <w:rFonts w:ascii="Arial" w:hAnsi="Arial"/>
          <w:color w:val="333333"/>
          <w:sz w:val="21"/>
          <w:szCs w:val="21"/>
        </w:rPr>
        <w:t xml:space="preserve">A brief summary of the technical terms used repeatedly in this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rPr>
          <w:tblHeader/>
        </w:trPr>
        <w:tc>
          <w:tcPr>
            <w:tcW w:type="dxa" w:w="2760"/>
            <w:tcBorders>
              <w:top w:val="single" w:color="DDDDDD" w:sz="2"/>
              <w:left w:val="single" w:color="DDDDDD" w:sz="2"/>
              <w:bottom w:val="single" w:color="DDDDDD" w:sz="2"/>
              <w:right w:val="single" w:color="DDDDDD" w:sz="2"/>
            </w:tcBorders>
            <w:shd w:fill="003D82" w:color="auto" w:val="clear"/>
            <w:tcMar>
              <w:top w:type="dxa" w:w="74"/>
              <w:left w:type="dxa" w:w="110"/>
              <w:bottom w:type="dxa" w:w="74"/>
              <w:right w:type="dxa" w:w="110"/>
            </w:tcMar>
          </w:tcPr>
          <w:p>
            <w:r>
              <w:rPr>
                <w:rFonts w:ascii="Arial" w:hAnsi="Arial"/>
                <w:b/>
                <w:bCs/>
                <w:color w:val="FFFFFF"/>
                <w:spacing w:val="8"/>
                <w:sz w:val="18"/>
                <w:szCs w:val="18"/>
              </w:rPr>
              <w:t xml:space="preserve">Term</w:t>
            </w:r>
          </w:p>
        </w:tc>
        <w:tc>
          <w:tcPr>
            <w:tcW w:type="dxa" w:w="6600"/>
            <w:tcBorders>
              <w:top w:val="single" w:color="DDDDDD" w:sz="2"/>
              <w:left w:val="single" w:color="DDDDDD" w:sz="2"/>
              <w:bottom w:val="single" w:color="DDDDDD" w:sz="2"/>
              <w:right w:val="single" w:color="DDDDDD" w:sz="2"/>
            </w:tcBorders>
            <w:shd w:fill="003D82" w:color="auto" w:val="clear"/>
            <w:tcMar>
              <w:top w:type="dxa" w:w="74"/>
              <w:left w:type="dxa" w:w="110"/>
              <w:bottom w:type="dxa" w:w="74"/>
              <w:right w:type="dxa" w:w="110"/>
            </w:tcMar>
          </w:tcPr>
          <w:p>
            <w:r>
              <w:rPr>
                <w:rFonts w:ascii="Arial" w:hAnsi="Arial"/>
                <w:b/>
                <w:bCs/>
                <w:color w:val="FFFFFF"/>
                <w:spacing w:val="8"/>
                <w:sz w:val="18"/>
                <w:szCs w:val="18"/>
              </w:rPr>
              <w:t xml:space="preserve">Description</w:t>
            </w:r>
          </w:p>
        </w:tc>
      </w:tr>
      <w:tr>
        <w:tc>
          <w:tcPr>
            <w:tcW w:type="dxa" w:w="276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0" w:lineRule="auto"/>
            </w:pPr>
            <w:r>
              <w:rPr>
                <w:rFonts w:ascii="Arial" w:hAnsi="Arial"/>
                <w:b/>
                <w:bCs/>
                <w:color w:val="000000"/>
                <w:sz w:val="18"/>
                <w:szCs w:val="18"/>
              </w:rPr>
              <w:t xml:space="preserve">Zitterbewegung (ZB)</w:t>
            </w:r>
          </w:p>
        </w:tc>
        <w:tc>
          <w:tcPr>
            <w:tcW w:type="dxa" w:w="660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0" w:lineRule="auto"/>
            </w:pPr>
            <w:r>
              <w:rPr>
                <w:rFonts w:ascii="Arial" w:hAnsi="Arial"/>
                <w:b w:val="false"/>
                <w:bCs w:val="false"/>
                <w:color w:val="333333"/>
                <w:sz w:val="18"/>
                <w:szCs w:val="18"/>
              </w:rPr>
              <w:t xml:space="preserve">An ultra-fast internal oscillation posited inside the electron; the model treats it as the source of gravity.</w:t>
            </w:r>
          </w:p>
        </w:tc>
      </w:tr>
      <w:tr>
        <w:tc>
          <w:tcPr>
            <w:tcW w:type="dxa" w:w="276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0" w:lineRule="auto"/>
            </w:pPr>
            <w:r>
              <w:rPr>
                <w:rFonts w:ascii="Arial" w:hAnsi="Arial"/>
                <w:b/>
                <w:bCs/>
                <w:color w:val="000000"/>
                <w:sz w:val="18"/>
                <w:szCs w:val="18"/>
              </w:rPr>
              <w:t xml:space="preserve">Two kernels and photon sphere</w:t>
            </w:r>
          </w:p>
        </w:tc>
        <w:tc>
          <w:tcPr>
            <w:tcW w:type="dxa" w:w="660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0" w:lineRule="auto"/>
            </w:pPr>
            <w:r>
              <w:rPr>
                <w:rFonts w:ascii="Arial" w:hAnsi="Arial"/>
                <w:b w:val="false"/>
                <w:bCs w:val="false"/>
                <w:color w:val="333333"/>
                <w:sz w:val="18"/>
                <w:szCs w:val="18"/>
              </w:rPr>
              <w:t xml:space="preserve">The electron’s two thermodynamic kernels (A and B) and the structure joining them that confines the internal oscillation.</w:t>
            </w:r>
          </w:p>
        </w:tc>
      </w:tr>
      <w:tr>
        <w:tc>
          <w:tcPr>
            <w:tcW w:type="dxa" w:w="276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0" w:lineRule="auto"/>
            </w:pPr>
            <w:r>
              <w:rPr>
                <w:rFonts w:ascii="Arial" w:hAnsi="Arial"/>
                <w:b/>
                <w:bCs/>
                <w:color w:val="000000"/>
                <w:sz w:val="18"/>
                <w:szCs w:val="18"/>
              </w:rPr>
              <w:t xml:space="preserve">Line integral S(xA, xB)</w:t>
            </w:r>
          </w:p>
        </w:tc>
        <w:tc>
          <w:tcPr>
            <w:tcW w:type="dxa" w:w="660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0" w:lineRule="auto"/>
            </w:pPr>
            <w:r>
              <w:rPr>
                <w:rFonts w:ascii="Arial" w:hAnsi="Arial"/>
                <w:b w:val="false"/>
                <w:bCs w:val="false"/>
                <w:color w:val="333333"/>
                <w:sz w:val="18"/>
                <w:szCs w:val="18"/>
              </w:rPr>
              <w:t xml:space="preserve">The phase accumulated along a path γ; the quantity the model takes as primary in physics.</w:t>
            </w:r>
          </w:p>
        </w:tc>
      </w:tr>
      <w:tr>
        <w:tc>
          <w:tcPr>
            <w:tcW w:type="dxa" w:w="276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0" w:lineRule="auto"/>
            </w:pPr>
            <w:r>
              <w:rPr>
                <w:rFonts w:ascii="Arial" w:hAnsi="Arial"/>
                <w:b/>
                <w:bCs/>
                <w:color w:val="000000"/>
                <w:sz w:val="18"/>
                <w:szCs w:val="18"/>
              </w:rPr>
              <w:t xml:space="preserve">Path variation</w:t>
            </w:r>
          </w:p>
        </w:tc>
        <w:tc>
          <w:tcPr>
            <w:tcW w:type="dxa" w:w="660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0" w:lineRule="auto"/>
            </w:pPr>
            <w:r>
              <w:rPr>
                <w:rFonts w:ascii="Arial" w:hAnsi="Arial"/>
                <w:b w:val="false"/>
                <w:bCs w:val="false"/>
                <w:color w:val="333333"/>
                <w:sz w:val="18"/>
                <w:szCs w:val="18"/>
              </w:rPr>
              <w:t xml:space="preserve">Deforming the path while holding the endpoints fixed; yields the field strength F μν (electromagnetic sector).</w:t>
            </w:r>
          </w:p>
        </w:tc>
      </w:tr>
      <w:tr>
        <w:tc>
          <w:tcPr>
            <w:tcW w:type="dxa" w:w="276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0" w:lineRule="auto"/>
            </w:pPr>
            <w:r>
              <w:rPr>
                <w:rFonts w:ascii="Arial" w:hAnsi="Arial"/>
                <w:b/>
                <w:bCs/>
                <w:color w:val="000000"/>
                <w:sz w:val="18"/>
                <w:szCs w:val="18"/>
              </w:rPr>
              <w:t xml:space="preserve">Endpoint variation</w:t>
            </w:r>
          </w:p>
        </w:tc>
        <w:tc>
          <w:tcPr>
            <w:tcW w:type="dxa" w:w="660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0" w:lineRule="auto"/>
            </w:pPr>
            <w:r>
              <w:rPr>
                <w:rFonts w:ascii="Arial" w:hAnsi="Arial"/>
                <w:b w:val="false"/>
                <w:bCs w:val="false"/>
                <w:color w:val="333333"/>
                <w:sz w:val="18"/>
                <w:szCs w:val="18"/>
              </w:rPr>
              <w:t xml:space="preserve">Displacing the endpoints themselves within external spacetime; yields the spacetime metric g μν (gravitational sector).</w:t>
            </w:r>
          </w:p>
        </w:tc>
      </w:tr>
      <w:tr>
        <w:tc>
          <w:tcPr>
            <w:tcW w:type="dxa" w:w="276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0" w:lineRule="auto"/>
            </w:pPr>
            <w:r>
              <w:rPr>
                <w:rFonts w:ascii="Arial" w:hAnsi="Arial"/>
                <w:b/>
                <w:bCs/>
                <w:color w:val="000000"/>
                <w:sz w:val="18"/>
                <w:szCs w:val="18"/>
              </w:rPr>
              <w:t xml:space="preserve">Axis locking</w:t>
            </w:r>
          </w:p>
        </w:tc>
        <w:tc>
          <w:tcPr>
            <w:tcW w:type="dxa" w:w="660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0" w:lineRule="auto"/>
            </w:pPr>
            <w:r>
              <w:rPr>
                <w:rFonts w:ascii="Arial" w:hAnsi="Arial"/>
                <w:b w:val="false"/>
                <w:bCs w:val="false"/>
                <w:color w:val="333333"/>
                <w:sz w:val="18"/>
                <w:szCs w:val="18"/>
              </w:rPr>
              <w:t xml:space="preserve">The effect by which the proton’s Coulomb field fixes the electron’s ZB axis along the proton–electron direction r̂.</w:t>
            </w:r>
          </w:p>
        </w:tc>
      </w:tr>
      <w:tr>
        <w:tc>
          <w:tcPr>
            <w:tcW w:type="dxa" w:w="276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0" w:lineRule="auto"/>
            </w:pPr>
            <w:r>
              <w:rPr>
                <w:rFonts w:ascii="Arial" w:hAnsi="Arial"/>
                <w:b/>
                <w:bCs/>
                <w:color w:val="000000"/>
                <w:sz w:val="18"/>
                <w:szCs w:val="18"/>
              </w:rPr>
              <w:t xml:space="preserve">Quadrupole moment</w:t>
            </w:r>
          </w:p>
        </w:tc>
        <w:tc>
          <w:tcPr>
            <w:tcW w:type="dxa" w:w="6600"/>
            <w:tcBorders>
              <w:top w:val="single" w:color="DDDDDD" w:sz="2"/>
              <w:left w:val="single" w:color="DDDDDD" w:sz="2"/>
              <w:bottom w:val="single" w:color="DDDDDD" w:sz="2"/>
              <w:right w:val="single" w:color="DDDDDD" w:sz="2"/>
            </w:tcBorders>
            <w:shd w:fill="FFFFFF" w:color="auto" w:val="clear"/>
            <w:tcMar>
              <w:top w:type="dxa" w:w="68"/>
              <w:left w:type="dxa" w:w="110"/>
              <w:bottom w:type="dxa" w:w="68"/>
              <w:right w:type="dxa" w:w="110"/>
            </w:tcMar>
          </w:tcPr>
          <w:p>
            <w:pPr>
              <w:spacing w:line="250" w:lineRule="auto"/>
            </w:pPr>
            <w:r>
              <w:rPr>
                <w:rFonts w:ascii="Arial" w:hAnsi="Arial"/>
                <w:b w:val="false"/>
                <w:bCs w:val="false"/>
                <w:color w:val="333333"/>
                <w:sz w:val="18"/>
                <w:szCs w:val="18"/>
              </w:rPr>
              <w:t xml:space="preserve">The second spatial moment of the mass distribution; the lowest multipole permitted to source gravitational radiation.</w:t>
            </w:r>
          </w:p>
        </w:tc>
      </w:tr>
      <w:tr>
        <w:tc>
          <w:tcPr>
            <w:tcW w:type="dxa" w:w="276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0" w:lineRule="auto"/>
            </w:pPr>
            <w:r>
              <w:rPr>
                <w:rFonts w:ascii="Arial" w:hAnsi="Arial"/>
                <w:b/>
                <w:bCs/>
                <w:color w:val="000000"/>
                <w:sz w:val="18"/>
                <w:szCs w:val="18"/>
              </w:rPr>
              <w:t xml:space="preserve">4π-cycle boundary condition</w:t>
            </w:r>
          </w:p>
        </w:tc>
        <w:tc>
          <w:tcPr>
            <w:tcW w:type="dxa" w:w="6600"/>
            <w:tcBorders>
              <w:top w:val="single" w:color="DDDDDD" w:sz="2"/>
              <w:left w:val="single" w:color="DDDDDD" w:sz="2"/>
              <w:bottom w:val="single" w:color="DDDDDD" w:sz="2"/>
              <w:right w:val="single" w:color="DDDDDD" w:sz="2"/>
            </w:tcBorders>
            <w:shd w:fill="F9F9F9" w:color="auto" w:val="clear"/>
            <w:tcMar>
              <w:top w:type="dxa" w:w="68"/>
              <w:left w:type="dxa" w:w="110"/>
              <w:bottom w:type="dxa" w:w="68"/>
              <w:right w:type="dxa" w:w="110"/>
            </w:tcMar>
          </w:tcPr>
          <w:p>
            <w:pPr>
              <w:spacing w:line="250" w:lineRule="auto"/>
            </w:pPr>
            <w:r>
              <w:rPr>
                <w:rFonts w:ascii="Arial" w:hAnsi="Arial"/>
                <w:b w:val="false"/>
                <w:bCs w:val="false"/>
                <w:color w:val="333333"/>
                <w:sz w:val="18"/>
                <w:szCs w:val="18"/>
              </w:rPr>
              <w:t xml:space="preserve">The mechanism that fixes the internal phase to a definite eigenstate at the cycle boundary (θ = nπ), preventing phase drift.</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tabs>
        <w:tab w:val="right" w:pos="9360"/>
      </w:tabs>
    </w:pPr>
    <w:r>
      <w:rPr>
        <w:rFonts w:ascii="Arial" w:hAnsi="Arial"/>
        <w:color w:val="999999"/>
        <w:sz w:val="15"/>
        <w:szCs w:val="15"/>
      </w:rPr>
      <w:t xml:space="preserve">Paper #59 Summary · 0-Sphere Model Series · DOI: 10.5281/zenodo.19932907</w:t>
    </w:r>
    <w:r>
      <w:rPr>
        <w:rFonts w:ascii="Arial" w:hAnsi="Arial"/>
        <w:sz w:val="15"/>
        <w:szCs w:val="15"/>
      </w:rPr>
      <w:t xml:space="preserve">	</w:t>
    </w:r>
    <w:r>
      <w:rPr>
        <w:rFonts w:ascii="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2026-05-22T17:55:54.539Z</dcterms:created>
  <dcterms:modified xsi:type="dcterms:W3CDTF">2026-05-22T17:55:54.539Z</dcterms:modified>
</cp:coreProperties>
</file>

<file path=docProps/custom.xml><?xml version="1.0" encoding="utf-8"?>
<Properties xmlns="http://schemas.openxmlformats.org/officeDocument/2006/custom-properties" xmlns:vt="http://schemas.openxmlformats.org/officeDocument/2006/docPropsVTypes"/>
</file>