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6"/>
      </w:pPr>
      <w:r>
        <w:rPr>
          <w:rFonts w:ascii="Times New Roman" w:eastAsia="游明朝" w:hAnsi="Times New Roman"/>
          <w:b/>
          <w:bCs/>
          <w:color w:val="000000"/>
          <w:sz w:val="44"/>
          <w:szCs w:val="44"/>
        </w:rPr>
        <w:t xml:space="preserve">線積分が一次量である世界 ── 自由電子はなぜ重力波を出さないのか</w:t>
      </w:r>
    </w:p>
    <w:p>
      <w:pPr>
        <w:spacing w:after="112"/>
      </w:pPr>
      <w:r>
        <w:rPr>
          <w:rFonts w:ascii="Arial" w:eastAsia="游ゴシック" w:hAnsi="Arial"/>
          <w:color w:val="666666"/>
          <w:sz w:val="22"/>
          <w:szCs w:val="22"/>
        </w:rPr>
        <w:t xml:space="preserve">経路に蓄積された位相を物理の一次量とみなす 0-Sphere モデルと、その重力側テストケースとしての Paper #59</w:t>
      </w:r>
    </w:p>
    <w:p>
      <w:pPr>
        <w:pBdr>
          <w:bottom w:val="single" w:color="000000" w:sz="12" w:space="8"/>
        </w:pBdr>
        <w:spacing w:after="150"/>
      </w:pPr>
      <w:r>
        <w:rPr>
          <w:rFonts w:ascii="Arial" w:eastAsia="游ゴシック" w:hAnsi="Arial"/>
          <w:color w:val="999999"/>
          <w:sz w:val="17"/>
          <w:szCs w:val="17"/>
        </w:rPr>
        <w:t xml:space="preserve">Satoshi Hanamura | Paper #59 | DOI: 10.5281/zenodo.19932907 | 2026年5月</w:t>
      </w:r>
    </w:p>
    <w:p>
      <w:pPr>
        <w:pBdr>
          <w:bottom w:val="single" w:color="DDDDDD" w:sz="6" w:space="5"/>
        </w:pBdr>
        <w:spacing w:after="146" w:before="230"/>
      </w:pPr>
      <w:r>
        <w:rPr>
          <w:rFonts w:ascii="Times New Roman" w:eastAsia="游明朝" w:hAnsi="Times New Roman"/>
          <w:b/>
          <w:bCs/>
          <w:color w:val="000000"/>
          <w:sz w:val="26"/>
          <w:szCs w:val="26"/>
        </w:rPr>
        <w:t xml:space="preserve">平易な導入 ── まず大づかみに</w:t>
      </w:r>
    </w:p>
    <w:p>
      <w:pPr>
        <w:spacing w:after="136" w:line="266" w:lineRule="auto"/>
        <w:jc w:val="both"/>
      </w:pPr>
      <w:r>
        <w:rPr>
          <w:rFonts w:ascii="Arial" w:eastAsia="游ゴシック" w:hAnsi="Arial"/>
          <w:color w:val="333333"/>
          <w:sz w:val="21"/>
          <w:szCs w:val="21"/>
        </w:rPr>
        <w:t xml:space="preserve">本論文は一見、風変わりな主張から始まる。重力は「質量そのもの」から直接生じるのではなく、電子内部の微小な振動から生じるかもしれない、という見方である。通常の物理では、重力波は質量分布が時間とともに不均一に変化するときにのみ現れる。完全に静止した球は何も放射せず、回転する亜鈴は放射する。</w:t>
      </w:r>
    </w:p>
    <w:p>
      <w:pPr>
        <w:spacing w:after="136" w:line="266" w:lineRule="auto"/>
        <w:jc w:val="both"/>
      </w:pPr>
      <w:r>
        <w:rPr>
          <w:rFonts w:ascii="Arial" w:eastAsia="游ゴシック" w:hAnsi="Arial"/>
          <w:color w:val="333333"/>
          <w:sz w:val="21"/>
          <w:szCs w:val="21"/>
        </w:rPr>
        <w:t xml:space="preserve">0-Sphere モデルは、電子内部に Zitterbewegung（ZB）と呼ばれる超高速の振動があると考える。だが自由電子は、振動する密閉箱のように振る舞う。内部で運動が起きていても、外から見れば何も変化しない。ゆえに観測可能な重力放射を出さない ── 本論文はこの点の論証に異例の注意を払う。</w:t>
      </w:r>
    </w:p>
    <w:p>
      <w:pPr>
        <w:spacing w:after="136" w:line="266" w:lineRule="auto"/>
        <w:jc w:val="both"/>
      </w:pPr>
      <w:r>
        <w:rPr>
          <w:rFonts w:ascii="Arial" w:eastAsia="游ゴシック" w:hAnsi="Arial"/>
          <w:color w:val="333333"/>
          <w:sz w:val="21"/>
          <w:szCs w:val="21"/>
        </w:rPr>
        <w:t xml:space="preserve">状況が変わるのは、電子が陽子に束縛されたとき（水素原子）である。陽子の電気的引力が電子の振動軸を一定方向へ固定し、系に方向の偏りが生まれる。自由電子の運動は無秩序で平均化され、束縛電子の運動は秩序づき、微小だが持続する四重極的な重力効果を生む。この描像で水素原子は微視的な「重力アンテナ」として働く。</w:t>
      </w:r>
    </w:p>
    <w:p>
      <w:pPr>
        <w:spacing w:after="150" w:line="266" w:lineRule="auto"/>
        <w:jc w:val="both"/>
      </w:pPr>
      <w:r>
        <w:rPr>
          <w:rFonts w:ascii="Arial" w:eastAsia="游ゴシック" w:hAnsi="Arial"/>
          <w:color w:val="333333"/>
          <w:sz w:val="21"/>
          <w:szCs w:val="21"/>
        </w:rPr>
        <w:t xml:space="preserve">ここまでが平易な入口である。しかし本論文を精読すると、真の主題は重力波そのものではないことが見えてくる。本論文（および本シリーズ）の主眼は、物理の一次量を「空間の点における場」ではなく「経路に沿って蓄積された位相」に置く存在論にある。重力放射は、その存在論を重力の側で検証するテストケースにすぎない。以下ではこの構図に沿って論文を読み解く。</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F7FA" w:sz="2"/>
              <w:left w:val="single" w:color="003D82" w:sz="22"/>
              <w:bottom w:val="single" w:color="F5F7FA" w:sz="2"/>
              <w:right w:val="single" w:color="F5F7FA" w:sz="2"/>
            </w:tcBorders>
            <w:shd w:fill="F5F7FA" w:color="auto" w:val="clear"/>
            <w:tcMar>
              <w:top w:type="dxa" w:w="146"/>
              <w:left w:type="dxa" w:w="220"/>
              <w:bottom w:type="dxa" w:w="146"/>
              <w:right w:type="dxa" w:w="200"/>
            </w:tcMar>
          </w:tcPr>
          <w:p>
            <w:pPr>
              <w:spacing w:after="76"/>
            </w:pPr>
            <w:r>
              <w:rPr>
                <w:rFonts w:ascii="Arial" w:eastAsia="游ゴシック" w:hAnsi="Arial"/>
                <w:b/>
                <w:bCs/>
                <w:color w:val="003D82"/>
                <w:spacing w:val="12"/>
                <w:sz w:val="19"/>
                <w:szCs w:val="19"/>
              </w:rPr>
              <w:t xml:space="preserve">中心主張</w:t>
            </w:r>
          </w:p>
          <w:p>
            <w:pPr>
              <w:spacing w:line="266" w:lineRule="auto"/>
              <w:jc w:val="both"/>
            </w:pPr>
            <w:r>
              <w:rPr>
                <w:rFonts w:ascii="Arial" w:eastAsia="游ゴシック" w:hAnsi="Arial"/>
                <w:color w:val="555555"/>
                <w:sz w:val="21"/>
                <w:szCs w:val="21"/>
              </w:rPr>
              <w:t xml:space="preserve">本論文の主眼は重力波の説明ではなく、物理の一次量を経路 γ 上に蓄積された位相 S(xA, xB) に置く線積分の存在論にある。同じ線積分の経路変分が電磁場 F μν を、端点変分が時空計量 g μν を生む。自由電子が重力波を出さないことは欠陥ではなく、この存在論が首尾一貫であるための成立条件である。Paper #59 は、その枠組みを重力の側で試す構造提案である。</w:t>
            </w:r>
          </w:p>
        </w:tc>
      </w:tr>
    </w:tbl>
    <w:p>
      <w:pPr>
        <w:spacing w:after="36"/>
      </w:pPr>
    </w:p>
    <w:p>
      <w:pPr>
        <w:pBdr>
          <w:bottom w:val="single" w:color="DDDDDD" w:sz="6" w:space="5"/>
        </w:pBdr>
        <w:spacing w:after="146" w:before="230"/>
      </w:pPr>
      <w:r>
        <w:rPr>
          <w:rFonts w:ascii="Times New Roman" w:eastAsia="游明朝" w:hAnsi="Times New Roman"/>
          <w:b/>
          <w:bCs/>
          <w:color w:val="003D82"/>
          <w:sz w:val="26"/>
          <w:szCs w:val="26"/>
        </w:rPr>
        <w:t xml:space="preserve">§1  </w:t>
      </w:r>
      <w:r>
        <w:rPr>
          <w:rFonts w:ascii="Times New Roman" w:eastAsia="游明朝" w:hAnsi="Times New Roman"/>
          <w:b/>
          <w:bCs/>
          <w:color w:val="000000"/>
          <w:sz w:val="26"/>
          <w:szCs w:val="26"/>
        </w:rPr>
        <w:t xml:space="preserve">本当の主題 ── 局所場か、経路に蓄積された位相か</w:t>
      </w:r>
    </w:p>
    <w:p>
      <w:pPr>
        <w:spacing w:after="136" w:line="266" w:lineRule="auto"/>
        <w:jc w:val="both"/>
      </w:pPr>
      <w:r>
        <w:rPr>
          <w:rFonts w:ascii="Arial" w:eastAsia="游ゴシック" w:hAnsi="Arial"/>
          <w:color w:val="333333"/>
          <w:sz w:val="21"/>
          <w:szCs w:val="21"/>
        </w:rPr>
        <w:t xml:space="preserve">通常の物理は、空間の各点 x に値をもつ場 φ(x) を一次量とする。0-Sphere モデルはこれと対立する立場をとる。一次量は点の場ではなく、経路 γ に沿って蓄積された位相 ── 線積分 S(xA, xB) ── である。場の値はそこから導かれる二次的な量にすぎない。</w:t>
      </w:r>
    </w:p>
    <w:p>
      <w:pPr>
        <w:spacing w:after="136" w:line="266" w:lineRule="auto"/>
        <w:jc w:val="both"/>
      </w:pPr>
      <w:r>
        <w:rPr>
          <w:rFonts w:ascii="Arial" w:eastAsia="游ゴシック" w:hAnsi="Arial"/>
          <w:color w:val="333333"/>
          <w:sz w:val="21"/>
          <w:szCs w:val="21"/>
        </w:rPr>
        <w:t xml:space="preserve">この差は哲学的に深い。局所場（local field）の理論では軌道の履歴は二次的に扱われるが、0-Sphere モデルでは軌道に沿った位相の蓄積こそが実在の担い手である。本シリーズが Wilson line・Berry 位相・Aharonov–Bohm 効果を一つの「軌道優先の物理（trajectory-first physics）」として読み替えようとするのも、この立場の帰結である。ただし、その広い再統一は本シリーズ全体の射程であり、Paper #59 単独の達成ではない。</w:t>
      </w:r>
    </w:p>
    <w:p>
      <w:pPr>
        <w:spacing w:after="138" w:line="266" w:lineRule="auto"/>
        <w:jc w:val="both"/>
      </w:pPr>
      <w:r>
        <w:rPr>
          <w:rFonts w:ascii="Arial" w:eastAsia="游ゴシック" w:hAnsi="Arial"/>
          <w:color w:val="333333"/>
          <w:sz w:val="21"/>
          <w:szCs w:val="21"/>
        </w:rPr>
        <w:t xml:space="preserve">本論文を含む研究プログラムは、おおむね次の階層構造をもつ。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60"/>
        <w:gridCol w:w="7500"/>
      </w:tblGrid>
      <w:tr>
        <w:trPr>
          <w:tblHeader/>
        </w:trPr>
        <w:tc>
          <w:tcPr>
            <w:tcW w:type="dxa" w:w="1860"/>
            <w:tcBorders>
              <w:top w:val="single" w:color="DDDDDD" w:sz="2"/>
              <w:left w:val="single" w:color="DDDDDD" w:sz="2"/>
              <w:bottom w:val="single" w:color="DDDDDD" w:sz="2"/>
              <w:right w:val="single" w:color="DDDDDD" w:sz="2"/>
            </w:tcBorders>
            <w:shd w:fill="003D82" w:color="auto" w:val="clear"/>
            <w:tcMar>
              <w:top w:type="dxa" w:w="74"/>
              <w:left w:type="dxa" w:w="110"/>
              <w:bottom w:type="dxa" w:w="74"/>
              <w:right w:type="dxa" w:w="110"/>
            </w:tcMar>
          </w:tcPr>
          <w:p>
            <w:r>
              <w:rPr>
                <w:rFonts w:ascii="Arial" w:eastAsia="游ゴシック" w:hAnsi="Arial"/>
                <w:b/>
                <w:bCs/>
                <w:color w:val="FFFFFF"/>
                <w:spacing w:val="8"/>
                <w:sz w:val="18"/>
                <w:szCs w:val="18"/>
              </w:rPr>
              <w:t xml:space="preserve">階層</w:t>
            </w:r>
          </w:p>
        </w:tc>
        <w:tc>
          <w:tcPr>
            <w:tcW w:type="dxa" w:w="7500"/>
            <w:tcBorders>
              <w:top w:val="single" w:color="DDDDDD" w:sz="2"/>
              <w:left w:val="single" w:color="DDDDDD" w:sz="2"/>
              <w:bottom w:val="single" w:color="DDDDDD" w:sz="2"/>
              <w:right w:val="single" w:color="DDDDDD" w:sz="2"/>
            </w:tcBorders>
            <w:shd w:fill="003D82" w:color="auto" w:val="clear"/>
            <w:tcMar>
              <w:top w:type="dxa" w:w="74"/>
              <w:left w:type="dxa" w:w="110"/>
              <w:bottom w:type="dxa" w:w="74"/>
              <w:right w:type="dxa" w:w="110"/>
            </w:tcMar>
          </w:tcPr>
          <w:p>
            <w:r>
              <w:rPr>
                <w:rFonts w:ascii="Arial" w:eastAsia="游ゴシック" w:hAnsi="Arial"/>
                <w:b/>
                <w:bCs/>
                <w:color w:val="FFFFFF"/>
                <w:spacing w:val="8"/>
                <w:sz w:val="18"/>
                <w:szCs w:val="18"/>
              </w:rPr>
              <w:t xml:space="preserve">内容</w:t>
            </w:r>
          </w:p>
        </w:tc>
      </w:tr>
      <w:tr>
        <w:tc>
          <w:tcPr>
            <w:tcW w:type="dxa" w:w="1860"/>
            <w:tcBorders>
              <w:top w:val="single" w:color="DDDDDD" w:sz="2"/>
              <w:left w:val="single" w:color="DDDDDD" w:sz="2"/>
              <w:bottom w:val="single" w:color="DDDDDD" w:sz="2"/>
              <w:right w:val="single" w:color="DDDDDD" w:sz="2"/>
            </w:tcBorders>
            <w:shd w:fill="FFFFFF" w:color="auto" w:val="clear"/>
            <w:tcMar>
              <w:top w:type="dxa" w:w="68"/>
              <w:left w:type="dxa" w:w="110"/>
              <w:bottom w:type="dxa" w:w="68"/>
              <w:right w:type="dxa" w:w="110"/>
            </w:tcMar>
          </w:tcPr>
          <w:p>
            <w:pPr>
              <w:spacing w:line="254" w:lineRule="auto"/>
            </w:pPr>
            <w:r>
              <w:rPr>
                <w:rFonts w:ascii="Arial" w:eastAsia="游ゴシック" w:hAnsi="Arial"/>
                <w:b/>
                <w:bCs/>
                <w:color w:val="000000"/>
                <w:sz w:val="18"/>
                <w:szCs w:val="18"/>
              </w:rPr>
              <w:t xml:space="preserve">第1層</w:t>
            </w:r>
          </w:p>
        </w:tc>
        <w:tc>
          <w:tcPr>
            <w:tcW w:type="dxa" w:w="7500"/>
            <w:tcBorders>
              <w:top w:val="single" w:color="DDDDDD" w:sz="2"/>
              <w:left w:val="single" w:color="DDDDDD" w:sz="2"/>
              <w:bottom w:val="single" w:color="DDDDDD" w:sz="2"/>
              <w:right w:val="single" w:color="DDDDDD" w:sz="2"/>
            </w:tcBorders>
            <w:shd w:fill="FFFFFF" w:color="auto" w:val="clear"/>
            <w:tcMar>
              <w:top w:type="dxa" w:w="68"/>
              <w:left w:type="dxa" w:w="110"/>
              <w:bottom w:type="dxa" w:w="68"/>
              <w:right w:type="dxa" w:w="110"/>
            </w:tcMar>
          </w:tcPr>
          <w:p>
            <w:pPr>
              <w:spacing w:line="254" w:lineRule="auto"/>
            </w:pPr>
            <w:r>
              <w:rPr>
                <w:rFonts w:ascii="Arial" w:eastAsia="游ゴシック" w:hAnsi="Arial"/>
                <w:b w:val="false"/>
                <w:bCs w:val="false"/>
                <w:color w:val="333333"/>
                <w:sz w:val="18"/>
                <w:szCs w:val="18"/>
              </w:rPr>
              <w:t xml:space="preserve">電子の二核内部構造（two-kernel geometry）</w:t>
            </w:r>
          </w:p>
        </w:tc>
      </w:tr>
      <w:tr>
        <w:tc>
          <w:tcPr>
            <w:tcW w:type="dxa" w:w="1860"/>
            <w:tcBorders>
              <w:top w:val="single" w:color="DDDDDD" w:sz="2"/>
              <w:left w:val="single" w:color="DDDDDD" w:sz="2"/>
              <w:bottom w:val="single" w:color="DDDDDD" w:sz="2"/>
              <w:right w:val="single" w:color="DDDDDD" w:sz="2"/>
            </w:tcBorders>
            <w:shd w:fill="F9F9F9" w:color="auto" w:val="clear"/>
            <w:tcMar>
              <w:top w:type="dxa" w:w="68"/>
              <w:left w:type="dxa" w:w="110"/>
              <w:bottom w:type="dxa" w:w="68"/>
              <w:right w:type="dxa" w:w="110"/>
            </w:tcMar>
          </w:tcPr>
          <w:p>
            <w:pPr>
              <w:spacing w:line="254" w:lineRule="auto"/>
            </w:pPr>
            <w:r>
              <w:rPr>
                <w:rFonts w:ascii="Arial" w:eastAsia="游ゴシック" w:hAnsi="Arial"/>
                <w:b/>
                <w:bCs/>
                <w:color w:val="000000"/>
                <w:sz w:val="18"/>
                <w:szCs w:val="18"/>
              </w:rPr>
              <w:t xml:space="preserve">第2層</w:t>
            </w:r>
          </w:p>
        </w:tc>
        <w:tc>
          <w:tcPr>
            <w:tcW w:type="dxa" w:w="7500"/>
            <w:tcBorders>
              <w:top w:val="single" w:color="DDDDDD" w:sz="2"/>
              <w:left w:val="single" w:color="DDDDDD" w:sz="2"/>
              <w:bottom w:val="single" w:color="DDDDDD" w:sz="2"/>
              <w:right w:val="single" w:color="DDDDDD" w:sz="2"/>
            </w:tcBorders>
            <w:shd w:fill="F9F9F9" w:color="auto" w:val="clear"/>
            <w:tcMar>
              <w:top w:type="dxa" w:w="68"/>
              <w:left w:type="dxa" w:w="110"/>
              <w:bottom w:type="dxa" w:w="68"/>
              <w:right w:type="dxa" w:w="110"/>
            </w:tcMar>
          </w:tcPr>
          <w:p>
            <w:pPr>
              <w:spacing w:line="254" w:lineRule="auto"/>
            </w:pPr>
            <w:r>
              <w:rPr>
                <w:rFonts w:ascii="Arial" w:eastAsia="游ゴシック" w:hAnsi="Arial"/>
                <w:b w:val="false"/>
                <w:bCs w:val="false"/>
                <w:color w:val="333333"/>
                <w:sz w:val="18"/>
                <w:szCs w:val="18"/>
              </w:rPr>
              <w:t xml:space="preserve">ヘリカル軌道 ── Berry 位相と異常磁気モーメント</w:t>
            </w:r>
          </w:p>
        </w:tc>
      </w:tr>
      <w:tr>
        <w:tc>
          <w:tcPr>
            <w:tcW w:type="dxa" w:w="1860"/>
            <w:tcBorders>
              <w:top w:val="single" w:color="DDDDDD" w:sz="2"/>
              <w:left w:val="single" w:color="DDDDDD" w:sz="2"/>
              <w:bottom w:val="single" w:color="DDDDDD" w:sz="2"/>
              <w:right w:val="single" w:color="DDDDDD" w:sz="2"/>
            </w:tcBorders>
            <w:shd w:fill="FFFFFF" w:color="auto" w:val="clear"/>
            <w:tcMar>
              <w:top w:type="dxa" w:w="68"/>
              <w:left w:type="dxa" w:w="110"/>
              <w:bottom w:type="dxa" w:w="68"/>
              <w:right w:type="dxa" w:w="110"/>
            </w:tcMar>
          </w:tcPr>
          <w:p>
            <w:pPr>
              <w:spacing w:line="254" w:lineRule="auto"/>
            </w:pPr>
            <w:r>
              <w:rPr>
                <w:rFonts w:ascii="Arial" w:eastAsia="游ゴシック" w:hAnsi="Arial"/>
                <w:b/>
                <w:bCs/>
                <w:color w:val="000000"/>
                <w:sz w:val="18"/>
                <w:szCs w:val="18"/>
              </w:rPr>
              <w:t xml:space="preserve">第3層</w:t>
            </w:r>
          </w:p>
        </w:tc>
        <w:tc>
          <w:tcPr>
            <w:tcW w:type="dxa" w:w="7500"/>
            <w:tcBorders>
              <w:top w:val="single" w:color="DDDDDD" w:sz="2"/>
              <w:left w:val="single" w:color="DDDDDD" w:sz="2"/>
              <w:bottom w:val="single" w:color="DDDDDD" w:sz="2"/>
              <w:right w:val="single" w:color="DDDDDD" w:sz="2"/>
            </w:tcBorders>
            <w:shd w:fill="FFFFFF" w:color="auto" w:val="clear"/>
            <w:tcMar>
              <w:top w:type="dxa" w:w="68"/>
              <w:left w:type="dxa" w:w="110"/>
              <w:bottom w:type="dxa" w:w="68"/>
              <w:right w:type="dxa" w:w="110"/>
            </w:tcMar>
          </w:tcPr>
          <w:p>
            <w:pPr>
              <w:spacing w:line="254" w:lineRule="auto"/>
            </w:pPr>
            <w:r>
              <w:rPr>
                <w:rFonts w:ascii="Arial" w:eastAsia="游ゴシック" w:hAnsi="Arial"/>
                <w:b w:val="false"/>
                <w:bCs w:val="false"/>
                <w:color w:val="333333"/>
                <w:sz w:val="18"/>
                <w:szCs w:val="18"/>
              </w:rPr>
              <w:t xml:space="preserve">線積分の存在論 ── 経路に蓄積された位相が一次量</w:t>
            </w:r>
          </w:p>
        </w:tc>
      </w:tr>
      <w:tr>
        <w:tc>
          <w:tcPr>
            <w:tcW w:type="dxa" w:w="1860"/>
            <w:tcBorders>
              <w:top w:val="single" w:color="DDDDDD" w:sz="2"/>
              <w:left w:val="single" w:color="DDDDDD" w:sz="2"/>
              <w:bottom w:val="single" w:color="DDDDDD" w:sz="2"/>
              <w:right w:val="single" w:color="DDDDDD" w:sz="2"/>
            </w:tcBorders>
            <w:shd w:fill="F9F9F9" w:color="auto" w:val="clear"/>
            <w:tcMar>
              <w:top w:type="dxa" w:w="68"/>
              <w:left w:type="dxa" w:w="110"/>
              <w:bottom w:type="dxa" w:w="68"/>
              <w:right w:type="dxa" w:w="110"/>
            </w:tcMar>
          </w:tcPr>
          <w:p>
            <w:pPr>
              <w:spacing w:line="254" w:lineRule="auto"/>
            </w:pPr>
            <w:r>
              <w:rPr>
                <w:rFonts w:ascii="Arial" w:eastAsia="游ゴシック" w:hAnsi="Arial"/>
                <w:b/>
                <w:bCs/>
                <w:color w:val="000000"/>
                <w:sz w:val="18"/>
                <w:szCs w:val="18"/>
              </w:rPr>
              <w:t xml:space="preserve">第4層</w:t>
            </w:r>
          </w:p>
        </w:tc>
        <w:tc>
          <w:tcPr>
            <w:tcW w:type="dxa" w:w="7500"/>
            <w:tcBorders>
              <w:top w:val="single" w:color="DDDDDD" w:sz="2"/>
              <w:left w:val="single" w:color="DDDDDD" w:sz="2"/>
              <w:bottom w:val="single" w:color="DDDDDD" w:sz="2"/>
              <w:right w:val="single" w:color="DDDDDD" w:sz="2"/>
            </w:tcBorders>
            <w:shd w:fill="F9F9F9" w:color="auto" w:val="clear"/>
            <w:tcMar>
              <w:top w:type="dxa" w:w="68"/>
              <w:left w:type="dxa" w:w="110"/>
              <w:bottom w:type="dxa" w:w="68"/>
              <w:right w:type="dxa" w:w="110"/>
            </w:tcMar>
          </w:tcPr>
          <w:p>
            <w:pPr>
              <w:spacing w:line="254" w:lineRule="auto"/>
            </w:pPr>
            <w:r>
              <w:rPr>
                <w:rFonts w:ascii="Arial" w:eastAsia="游ゴシック" w:hAnsi="Arial"/>
                <w:b w:val="false"/>
                <w:bCs w:val="false"/>
                <w:color w:val="333333"/>
                <w:sz w:val="18"/>
                <w:szCs w:val="18"/>
              </w:rPr>
              <w:t xml:space="preserve">電磁気＝経路変分、重力＝端点変分</w:t>
            </w:r>
          </w:p>
        </w:tc>
      </w:tr>
      <w:tr>
        <w:tc>
          <w:tcPr>
            <w:tcW w:type="dxa" w:w="1860"/>
            <w:tcBorders>
              <w:top w:val="single" w:color="DDDDDD" w:sz="2"/>
              <w:left w:val="single" w:color="DDDDDD" w:sz="2"/>
              <w:bottom w:val="single" w:color="DDDDDD" w:sz="2"/>
              <w:right w:val="single" w:color="DDDDDD" w:sz="2"/>
            </w:tcBorders>
            <w:shd w:fill="FFFFFF" w:color="auto" w:val="clear"/>
            <w:tcMar>
              <w:top w:type="dxa" w:w="68"/>
              <w:left w:type="dxa" w:w="110"/>
              <w:bottom w:type="dxa" w:w="68"/>
              <w:right w:type="dxa" w:w="110"/>
            </w:tcMar>
          </w:tcPr>
          <w:p>
            <w:pPr>
              <w:spacing w:line="254" w:lineRule="auto"/>
            </w:pPr>
            <w:r>
              <w:rPr>
                <w:rFonts w:ascii="Arial" w:eastAsia="游ゴシック" w:hAnsi="Arial"/>
                <w:b/>
                <w:bCs/>
                <w:color w:val="000000"/>
                <w:sz w:val="18"/>
                <w:szCs w:val="18"/>
              </w:rPr>
              <w:t xml:space="preserve">第5層</w:t>
            </w:r>
          </w:p>
        </w:tc>
        <w:tc>
          <w:tcPr>
            <w:tcW w:type="dxa" w:w="7500"/>
            <w:tcBorders>
              <w:top w:val="single" w:color="DDDDDD" w:sz="2"/>
              <w:left w:val="single" w:color="DDDDDD" w:sz="2"/>
              <w:bottom w:val="single" w:color="DDDDDD" w:sz="2"/>
              <w:right w:val="single" w:color="DDDDDD" w:sz="2"/>
            </w:tcBorders>
            <w:shd w:fill="FFFFFF" w:color="auto" w:val="clear"/>
            <w:tcMar>
              <w:top w:type="dxa" w:w="68"/>
              <w:left w:type="dxa" w:w="110"/>
              <w:bottom w:type="dxa" w:w="68"/>
              <w:right w:type="dxa" w:w="110"/>
            </w:tcMar>
          </w:tcPr>
          <w:p>
            <w:pPr>
              <w:spacing w:line="254" w:lineRule="auto"/>
            </w:pPr>
            <w:r>
              <w:rPr>
                <w:rFonts w:ascii="Arial" w:eastAsia="游ゴシック" w:hAnsi="Arial"/>
                <w:b w:val="false"/>
                <w:bCs w:val="false"/>
                <w:color w:val="333333"/>
                <w:sz w:val="18"/>
                <w:szCs w:val="18"/>
              </w:rPr>
              <w:t xml:space="preserve">四重極重力は、外部で変化する端点からのみ生じる</w:t>
            </w:r>
          </w:p>
        </w:tc>
      </w:tr>
    </w:tbl>
    <w:p>
      <w:pPr>
        <w:spacing w:after="36"/>
      </w:pPr>
    </w:p>
    <w:p>
      <w:pPr>
        <w:pBdr>
          <w:bottom w:val="single" w:color="DDDDDD" w:sz="6" w:space="5"/>
        </w:pBdr>
        <w:spacing w:after="146" w:before="230"/>
      </w:pPr>
      <w:r>
        <w:rPr>
          <w:rFonts w:ascii="Times New Roman" w:eastAsia="游明朝" w:hAnsi="Times New Roman"/>
          <w:b/>
          <w:bCs/>
          <w:color w:val="003D82"/>
          <w:sz w:val="26"/>
          <w:szCs w:val="26"/>
        </w:rPr>
        <w:t xml:space="preserve">§2  </w:t>
      </w:r>
      <w:r>
        <w:rPr>
          <w:rFonts w:ascii="Times New Roman" w:eastAsia="游明朝" w:hAnsi="Times New Roman"/>
          <w:b/>
          <w:bCs/>
          <w:color w:val="000000"/>
          <w:sz w:val="26"/>
          <w:szCs w:val="26"/>
        </w:rPr>
        <w:t xml:space="preserve">電子という内部幾何</w:t>
      </w:r>
    </w:p>
    <w:p>
      <w:pPr>
        <w:spacing w:after="136" w:line="266" w:lineRule="auto"/>
        <w:jc w:val="both"/>
      </w:pPr>
      <w:r>
        <w:rPr>
          <w:rFonts w:ascii="Arial" w:eastAsia="游ゴシック" w:hAnsi="Arial"/>
          <w:color w:val="333333"/>
          <w:sz w:val="21"/>
          <w:szCs w:val="21"/>
        </w:rPr>
        <w:t xml:space="preserve">本シリーズは電子を点粒子ではなく、内部構造をもつ系として扱う。2つの内部核（Kernel A・Kernel B）が光子球（photon sphere）で結ばれ、その内部で超高速の振動運動 Zitterbewegung（ZB）が生じる。さらにこの系はヘリカル（らせん状）の軌道を描き、その回転構造から Berry 位相が、軌道の非閉性から異常磁気モーメント a_e が生じる。要点は、軌道が閉じないことである。ZB 軸はサイクルごとに ∆φ = 2π a_e だけ歳差し、往路 A→B と復路 B→A′ は互いの逆ではない。この非閉性が、後に現れる方向の偏りの源となる。</w:t>
      </w:r>
    </w:p>
    <w:p>
      <w:pPr>
        <w:pBdr>
          <w:bottom w:val="single" w:color="DDDDDD" w:sz="6" w:space="5"/>
        </w:pBdr>
        <w:spacing w:after="146" w:before="230"/>
      </w:pPr>
      <w:r>
        <w:rPr>
          <w:rFonts w:ascii="Times New Roman" w:eastAsia="游明朝" w:hAnsi="Times New Roman"/>
          <w:b/>
          <w:bCs/>
          <w:color w:val="003D82"/>
          <w:sz w:val="26"/>
          <w:szCs w:val="26"/>
        </w:rPr>
        <w:t xml:space="preserve">§3  </w:t>
      </w:r>
      <w:r>
        <w:rPr>
          <w:rFonts w:ascii="Times New Roman" w:eastAsia="游明朝" w:hAnsi="Times New Roman"/>
          <w:b/>
          <w:bCs/>
          <w:color w:val="000000"/>
          <w:sz w:val="26"/>
          <w:szCs w:val="26"/>
        </w:rPr>
        <w:t xml:space="preserve">一つの線積分、二つの変分</w:t>
      </w:r>
    </w:p>
    <w:p>
      <w:pPr>
        <w:spacing w:after="130" w:line="266" w:lineRule="auto"/>
        <w:jc w:val="both"/>
      </w:pPr>
      <w:r>
        <w:rPr>
          <w:rFonts w:ascii="Arial" w:eastAsia="游ゴシック" w:hAnsi="Arial"/>
          <w:color w:val="333333"/>
          <w:sz w:val="21"/>
          <w:szCs w:val="21"/>
        </w:rPr>
        <w:t xml:space="preserve">本論文の中核は §IV にある。位相蓄積の線積分 S(xA, xB) に対し、二種類の変分が二つの異なる物理を生む。</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2"/>
              <w:left w:val="single" w:color="DDDDDD" w:sz="2"/>
              <w:bottom w:val="single" w:color="DDDDDD" w:sz="2"/>
              <w:right w:val="single" w:color="DDDDDD" w:sz="2"/>
            </w:tcBorders>
            <w:shd w:fill="F9F9F9" w:color="auto" w:val="clear"/>
            <w:tcMar>
              <w:top w:type="dxa" w:w="140"/>
              <w:left w:type="dxa" w:w="160"/>
              <w:bottom w:type="dxa" w:w="132"/>
              <w:right w:type="dxa" w:w="160"/>
            </w:tcMar>
          </w:tcPr>
          <w:p>
            <w:pPr>
              <w:spacing w:after="54"/>
              <w:jc w:val="center"/>
            </w:pPr>
            <w:r>
              <w:rPr>
                <w:rFonts w:ascii="Arial" w:eastAsia="游ゴシック" w:hAnsi="Arial"/>
                <w:color w:val="000000"/>
                <w:sz w:val="21"/>
                <w:szCs w:val="21"/>
              </w:rPr>
              <w:t xml:space="preserve">δ</w:t>
            </w:r>
            <w:r>
              <w:rPr>
                <w:rFonts w:ascii="Arial" w:eastAsia="游ゴシック" w:hAnsi="Arial"/>
                <w:color w:val="000000"/>
                <w:sz w:val="14"/>
                <w:szCs w:val="14"/>
                <w:vertAlign w:val="subscript"/>
              </w:rPr>
              <w:t xml:space="preserve">path</w:t>
            </w:r>
            <w:r>
              <w:rPr>
                <w:rFonts w:ascii="Arial" w:eastAsia="游ゴシック" w:hAnsi="Arial"/>
                <w:color w:val="000000"/>
                <w:sz w:val="21"/>
                <w:szCs w:val="21"/>
              </w:rPr>
              <w:t xml:space="preserve"> S → F</w:t>
            </w:r>
            <w:r>
              <w:rPr>
                <w:rFonts w:ascii="Arial" w:eastAsia="游ゴシック" w:hAnsi="Arial"/>
                <w:color w:val="000000"/>
                <w:sz w:val="14"/>
                <w:szCs w:val="14"/>
                <w:vertAlign w:val="subscript"/>
              </w:rPr>
              <w:t xml:space="preserve">μν</w:t>
            </w:r>
          </w:p>
          <w:p>
            <w:pPr>
              <w:spacing w:after="76"/>
              <w:jc w:val="center"/>
            </w:pPr>
            <w:r>
              <w:rPr>
                <w:rFonts w:ascii="Arial" w:eastAsia="游ゴシック" w:hAnsi="Arial"/>
                <w:color w:val="000000"/>
                <w:sz w:val="21"/>
                <w:szCs w:val="21"/>
              </w:rPr>
              <w:t xml:space="preserve">δ</w:t>
            </w:r>
            <w:r>
              <w:rPr>
                <w:rFonts w:ascii="Arial" w:eastAsia="游ゴシック" w:hAnsi="Arial"/>
                <w:color w:val="000000"/>
                <w:sz w:val="14"/>
                <w:szCs w:val="14"/>
                <w:vertAlign w:val="subscript"/>
              </w:rPr>
              <w:t xml:space="preserve">endpoint</w:t>
            </w:r>
            <w:r>
              <w:rPr>
                <w:rFonts w:ascii="Arial" w:eastAsia="游ゴシック" w:hAnsi="Arial"/>
                <w:color w:val="000000"/>
                <w:sz w:val="21"/>
                <w:szCs w:val="21"/>
              </w:rPr>
              <w:t xml:space="preserve"> S → g</w:t>
            </w:r>
            <w:r>
              <w:rPr>
                <w:rFonts w:ascii="Arial" w:eastAsia="游ゴシック" w:hAnsi="Arial"/>
                <w:color w:val="000000"/>
                <w:sz w:val="14"/>
                <w:szCs w:val="14"/>
                <w:vertAlign w:val="subscript"/>
              </w:rPr>
              <w:t xml:space="preserve">μν</w:t>
            </w:r>
          </w:p>
          <w:p>
            <w:pPr>
              <w:jc w:val="center"/>
            </w:pPr>
            <w:r>
              <w:rPr>
                <w:rFonts w:ascii="Arial" w:eastAsia="游ゴシック" w:hAnsi="Arial"/>
                <w:i/>
                <w:iCs/>
                <w:color w:val="666666"/>
                <w:sz w:val="16"/>
                <w:szCs w:val="16"/>
              </w:rPr>
              <w:t xml:space="preserve">同じ一つの線積分の二つの変分が、電磁気と重力をそれぞれ生む</w:t>
            </w:r>
          </w:p>
        </w:tc>
      </w:tr>
    </w:tbl>
    <w:p>
      <w:pPr>
        <w:spacing w:after="64"/>
      </w:pPr>
    </w:p>
    <w:p>
      <w:pPr>
        <w:spacing w:after="136" w:line="266" w:lineRule="auto"/>
        <w:jc w:val="both"/>
      </w:pPr>
      <w:r>
        <w:rPr>
          <w:rFonts w:ascii="Arial" w:eastAsia="游ゴシック" w:hAnsi="Arial"/>
          <w:color w:val="333333"/>
          <w:sz w:val="21"/>
          <w:szCs w:val="21"/>
        </w:rPr>
        <w:t xml:space="preserve">経路変分（path variation）── 端点を固定したまま経路を変形する操作 ── は場の強さ F μν を与え、電磁気セクターに対応する。端点変分（endpoint variation）── 端点そのものを外部時空の中で動かす操作 ── は時空計量 g μν を与え、重力セクターに対応する。電磁気と重力は別々の場ではなく、同じ一つの線積分に対する異なる変分操作として統一的に現れる。これが本シリーズの真の野心であり、Paper #59 はこれを重力の側で具体化する。</w:t>
      </w:r>
    </w:p>
    <w:p>
      <w:pPr>
        <w:pBdr>
          <w:bottom w:val="single" w:color="DDDDDD" w:sz="6" w:space="5"/>
        </w:pBdr>
        <w:spacing w:after="146" w:before="230"/>
      </w:pPr>
      <w:r>
        <w:rPr>
          <w:rFonts w:ascii="Times New Roman" w:eastAsia="游明朝" w:hAnsi="Times New Roman"/>
          <w:b/>
          <w:bCs/>
          <w:color w:val="003D82"/>
          <w:sz w:val="26"/>
          <w:szCs w:val="26"/>
        </w:rPr>
        <w:t xml:space="preserve">§4  </w:t>
      </w:r>
      <w:r>
        <w:rPr>
          <w:rFonts w:ascii="Times New Roman" w:eastAsia="游明朝" w:hAnsi="Times New Roman"/>
          <w:b/>
          <w:bCs/>
          <w:color w:val="000000"/>
          <w:sz w:val="26"/>
          <w:szCs w:val="26"/>
        </w:rPr>
        <w:t xml:space="preserve">自由電子が重力波を出さない理由 ── 理論の成立条件として</w:t>
      </w:r>
    </w:p>
    <w:p>
      <w:pPr>
        <w:spacing w:after="108" w:line="266" w:lineRule="auto"/>
        <w:jc w:val="both"/>
      </w:pPr>
      <w:r>
        <w:rPr>
          <w:rFonts w:ascii="Arial" w:eastAsia="游ゴシック" w:hAnsi="Arial"/>
          <w:color w:val="333333"/>
          <w:sz w:val="21"/>
          <w:szCs w:val="21"/>
        </w:rPr>
        <w:t xml:space="preserve">ここで、自由電子の抑制が単なる興味深い事実ではなく、理論の成立条件であることが分かる。自由電子の内部には経路変分が存在する（内部の ZB 運動）。しかし外部時空に対する端点変分は存在しない。2つの核の位置は重心とともに剛体的に運ばれ、外部の基準点に対して端点は変化しない。</w:t>
      </w:r>
    </w:p>
    <w:p>
      <w:pPr>
        <w:spacing w:after="150" w:before="96"/>
        <w:jc w:val="center"/>
      </w:pPr>
      <w:r>
        <w:rPr>
          <w:rFonts w:ascii="Arial" w:eastAsia="游ゴシック" w:hAnsi="Arial"/>
          <w:color w:val="000000"/>
          <w:sz w:val="21"/>
          <w:szCs w:val="21"/>
        </w:rPr>
        <w:t xml:space="preserve">δ</w:t>
      </w:r>
      <w:r>
        <w:rPr>
          <w:rFonts w:ascii="Arial" w:eastAsia="游ゴシック" w:hAnsi="Arial"/>
          <w:color w:val="000000"/>
          <w:sz w:val="14"/>
          <w:szCs w:val="14"/>
          <w:vertAlign w:val="subscript"/>
        </w:rPr>
        <w:t xml:space="preserve">endpoint</w:t>
      </w:r>
      <w:r>
        <w:rPr>
          <w:rFonts w:ascii="Arial" w:eastAsia="游ゴシック" w:hAnsi="Arial"/>
          <w:color w:val="000000"/>
          <w:sz w:val="14"/>
          <w:szCs w:val="14"/>
          <w:vertAlign w:val="superscript"/>
        </w:rPr>
        <w:t xml:space="preserve">(ext)</w:t>
      </w:r>
      <w:r>
        <w:rPr>
          <w:rFonts w:ascii="Arial" w:eastAsia="游ゴシック" w:hAnsi="Arial"/>
          <w:color w:val="000000"/>
          <w:sz w:val="21"/>
          <w:szCs w:val="21"/>
        </w:rPr>
        <w:t xml:space="preserve"> S = 0 ⇒ δg</w:t>
      </w:r>
      <w:r>
        <w:rPr>
          <w:rFonts w:ascii="Arial" w:eastAsia="游ゴシック" w:hAnsi="Arial"/>
          <w:color w:val="000000"/>
          <w:sz w:val="14"/>
          <w:szCs w:val="14"/>
          <w:vertAlign w:val="subscript"/>
        </w:rPr>
        <w:t xml:space="preserve">μν</w:t>
      </w:r>
      <w:r>
        <w:rPr>
          <w:rFonts w:ascii="Arial" w:eastAsia="游ゴシック" w:hAnsi="Arial"/>
          <w:color w:val="000000"/>
          <w:sz w:val="14"/>
          <w:szCs w:val="14"/>
          <w:vertAlign w:val="superscript"/>
        </w:rPr>
        <w:t xml:space="preserve">(ext)</w:t>
      </w:r>
      <w:r>
        <w:rPr>
          <w:rFonts w:ascii="Arial" w:eastAsia="游ゴシック" w:hAnsi="Arial"/>
          <w:color w:val="000000"/>
          <w:sz w:val="21"/>
          <w:szCs w:val="21"/>
        </w:rPr>
        <w:t xml:space="preserve"> = 0</w:t>
      </w:r>
    </w:p>
    <w:p>
      <w:pPr>
        <w:spacing w:after="136" w:line="266" w:lineRule="auto"/>
        <w:jc w:val="both"/>
      </w:pPr>
      <w:r>
        <w:rPr>
          <w:rFonts w:ascii="Arial" w:eastAsia="游ゴシック" w:hAnsi="Arial"/>
          <w:color w:val="333333"/>
          <w:sz w:val="21"/>
          <w:szCs w:val="21"/>
        </w:rPr>
        <w:t xml:space="preserve">すなわち、外部から見える質量分布は変化せず、動的な外部計量は生じない。自由電子は「閉じたカプセル」── 内部でどれほど激しく振動していても、外からは不変の塊である。もし内部運動が即座に重力放射を生むなら、理論は破綻する。自由電子が放射しないことは、線積分の存在論が首尾一貫であるための要請なのである。</w:t>
      </w:r>
    </w:p>
    <w:p>
      <w:pPr>
        <w:pBdr>
          <w:bottom w:val="single" w:color="DDDDDD" w:sz="6" w:space="5"/>
        </w:pBdr>
        <w:spacing w:after="146" w:before="230"/>
      </w:pPr>
      <w:r>
        <w:rPr>
          <w:rFonts w:ascii="Times New Roman" w:eastAsia="游明朝" w:hAnsi="Times New Roman"/>
          <w:b/>
          <w:bCs/>
          <w:color w:val="003D82"/>
          <w:sz w:val="26"/>
          <w:szCs w:val="26"/>
        </w:rPr>
        <w:t xml:space="preserve">§5  </w:t>
      </w:r>
      <w:r>
        <w:rPr>
          <w:rFonts w:ascii="Times New Roman" w:eastAsia="游明朝" w:hAnsi="Times New Roman"/>
          <w:b/>
          <w:bCs/>
          <w:color w:val="000000"/>
          <w:sz w:val="26"/>
          <w:szCs w:val="26"/>
        </w:rPr>
        <w:t xml:space="preserve">陽子は端点変分を可能にする ── 軸ロックと水素アンテナ</w:t>
      </w:r>
    </w:p>
    <w:p>
      <w:pPr>
        <w:spacing w:after="130" w:line="266" w:lineRule="auto"/>
        <w:jc w:val="both"/>
      </w:pPr>
      <w:r>
        <w:rPr>
          <w:rFonts w:ascii="Arial" w:eastAsia="游ゴシック" w:hAnsi="Arial"/>
          <w:color w:val="333333"/>
          <w:sz w:val="21"/>
          <w:szCs w:val="21"/>
        </w:rPr>
        <w:t xml:space="preserve">陽子の存在は二重の役割を果たす。第一に、Coulomb ポテンシャルが電子の ZB 軸を陽子-電子方向へ固定する（軸ロック、Axis Locking）。これは転換点エネルギー非対称性の Coulomb 寄与として次式で表される。</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2"/>
              <w:left w:val="single" w:color="DDDDDD" w:sz="2"/>
              <w:bottom w:val="single" w:color="DDDDDD" w:sz="2"/>
              <w:right w:val="single" w:color="DDDDDD" w:sz="2"/>
            </w:tcBorders>
            <w:shd w:fill="F9F9F9" w:color="auto" w:val="clear"/>
            <w:tcMar>
              <w:top w:type="dxa" w:w="140"/>
              <w:left w:type="dxa" w:w="160"/>
              <w:bottom w:type="dxa" w:w="132"/>
              <w:right w:type="dxa" w:w="160"/>
            </w:tcMar>
          </w:tcPr>
          <w:p>
            <w:pPr>
              <w:spacing w:after="76"/>
              <w:jc w:val="center"/>
            </w:pPr>
            <w:r>
              <w:rPr>
                <w:rFonts w:ascii="Arial" w:eastAsia="游ゴシック" w:hAnsi="Arial"/>
                <w:color w:val="000000"/>
                <w:sz w:val="21"/>
                <w:szCs w:val="21"/>
              </w:rPr>
              <w:t xml:space="preserve">δE</w:t>
            </w:r>
            <w:r>
              <w:rPr>
                <w:rFonts w:ascii="Arial" w:eastAsia="游ゴシック" w:hAnsi="Arial"/>
                <w:color w:val="000000"/>
                <w:sz w:val="14"/>
                <w:szCs w:val="14"/>
                <w:vertAlign w:val="subscript"/>
              </w:rPr>
              <w:t xml:space="preserve">Coulomb</w:t>
            </w:r>
            <w:r>
              <w:rPr>
                <w:rFonts w:ascii="Arial" w:eastAsia="游ゴシック" w:hAnsi="Arial"/>
                <w:color w:val="000000"/>
                <w:sz w:val="21"/>
                <w:szCs w:val="21"/>
              </w:rPr>
              <w:t xml:space="preserve">(ê)  =  − e</w:t>
            </w:r>
            <w:r>
              <w:rPr>
                <w:rFonts w:ascii="Arial" w:eastAsia="游ゴシック" w:hAnsi="Arial"/>
                <w:color w:val="000000"/>
                <w:sz w:val="14"/>
                <w:szCs w:val="14"/>
                <w:vertAlign w:val="superscript"/>
              </w:rPr>
              <w:t xml:space="preserve">2</w:t>
            </w:r>
            <w:r>
              <w:rPr>
                <w:rFonts w:ascii="Arial" w:eastAsia="游ゴシック" w:hAnsi="Arial"/>
                <w:color w:val="000000"/>
                <w:sz w:val="21"/>
                <w:szCs w:val="21"/>
              </w:rPr>
              <w:t xml:space="preserve"> / (4πε</w:t>
            </w:r>
            <w:r>
              <w:rPr>
                <w:rFonts w:ascii="Arial" w:eastAsia="游ゴシック" w:hAnsi="Arial"/>
                <w:color w:val="000000"/>
                <w:sz w:val="14"/>
                <w:szCs w:val="14"/>
                <w:vertAlign w:val="subscript"/>
              </w:rPr>
              <w:t xml:space="preserve">0</w:t>
            </w:r>
            <w:r>
              <w:rPr>
                <w:rFonts w:ascii="Arial" w:eastAsia="游ゴシック" w:hAnsi="Arial"/>
                <w:color w:val="000000"/>
                <w:sz w:val="21"/>
                <w:szCs w:val="21"/>
              </w:rPr>
              <w:t xml:space="preserve"> r</w:t>
            </w:r>
            <w:r>
              <w:rPr>
                <w:rFonts w:ascii="Arial" w:eastAsia="游ゴシック" w:hAnsi="Arial"/>
                <w:color w:val="000000"/>
                <w:sz w:val="14"/>
                <w:szCs w:val="14"/>
                <w:vertAlign w:val="superscript"/>
              </w:rPr>
              <w:t xml:space="preserve">2</w:t>
            </w:r>
            <w:r>
              <w:rPr>
                <w:rFonts w:ascii="Arial" w:eastAsia="游ゴシック" w:hAnsi="Arial"/>
                <w:color w:val="000000"/>
                <w:sz w:val="21"/>
                <w:szCs w:val="21"/>
              </w:rPr>
              <w:t xml:space="preserve">) (r̂ · ê) λ</w:t>
            </w:r>
            <w:r>
              <w:rPr>
                <w:rFonts w:ascii="Arial" w:eastAsia="游ゴシック" w:hAnsi="Arial"/>
                <w:color w:val="000000"/>
                <w:sz w:val="14"/>
                <w:szCs w:val="14"/>
                <w:vertAlign w:val="subscript"/>
              </w:rPr>
              <w:t xml:space="preserve">C</w:t>
            </w:r>
            <w:r>
              <w:rPr>
                <w:rFonts w:ascii="Arial" w:eastAsia="游ゴシック" w:hAnsi="Arial"/>
                <w:color w:val="000000"/>
                <w:sz w:val="14"/>
                <w:szCs w:val="14"/>
                <w:vertAlign w:val="superscript"/>
              </w:rPr>
              <w:t xml:space="preserve">(e)</w:t>
            </w:r>
          </w:p>
          <w:p>
            <w:pPr>
              <w:jc w:val="center"/>
            </w:pPr>
            <w:r>
              <w:rPr>
                <w:rFonts w:ascii="Arial" w:eastAsia="游ゴシック" w:hAnsi="Arial"/>
                <w:i/>
                <w:iCs/>
                <w:color w:val="666666"/>
                <w:sz w:val="16"/>
                <w:szCs w:val="16"/>
              </w:rPr>
              <w:t xml:space="preserve">ZB軸 ê を陽子-電子方向 r̂ へ引き寄せる Coulomb 非対称性</w:t>
            </w:r>
          </w:p>
        </w:tc>
      </w:tr>
    </w:tbl>
    <w:p>
      <w:pPr>
        <w:spacing w:after="64"/>
      </w:pPr>
    </w:p>
    <w:p>
      <w:pPr>
        <w:spacing w:after="108" w:line="266" w:lineRule="auto"/>
        <w:jc w:val="both"/>
      </w:pPr>
      <w:r>
        <w:rPr>
          <w:rFonts w:ascii="Arial" w:eastAsia="游ゴシック" w:hAnsi="Arial"/>
          <w:color w:val="333333"/>
          <w:sz w:val="21"/>
          <w:szCs w:val="21"/>
        </w:rPr>
        <w:t xml:space="preserve">この非対称性は陽子-電子方向 r̂ に沿って働き、定まらなかった ZB 軸を一方向へ収束させる。第二に、より本質的なのは、電子の軌道運動が真の端点変分を供給することである。電子が陽子のまわりを巡るとき、線積分の端点（核の位置）は軌道体積の中を掃引する。</w:t>
      </w:r>
    </w:p>
    <w:p>
      <w:pPr>
        <w:spacing w:after="150" w:before="96"/>
        <w:jc w:val="center"/>
      </w:pPr>
      <w:r>
        <w:rPr>
          <w:rFonts w:ascii="Arial" w:eastAsia="游ゴシック" w:hAnsi="Arial"/>
          <w:color w:val="000000"/>
          <w:sz w:val="21"/>
          <w:szCs w:val="21"/>
        </w:rPr>
        <w:t xml:space="preserve">δ</w:t>
      </w:r>
      <w:r>
        <w:rPr>
          <w:rFonts w:ascii="Arial" w:eastAsia="游ゴシック" w:hAnsi="Arial"/>
          <w:color w:val="000000"/>
          <w:sz w:val="14"/>
          <w:szCs w:val="14"/>
          <w:vertAlign w:val="subscript"/>
        </w:rPr>
        <w:t xml:space="preserve">endpoint</w:t>
      </w:r>
      <w:r>
        <w:rPr>
          <w:rFonts w:ascii="Arial" w:eastAsia="游ゴシック" w:hAnsi="Arial"/>
          <w:color w:val="000000"/>
          <w:sz w:val="14"/>
          <w:szCs w:val="14"/>
          <w:vertAlign w:val="superscript"/>
        </w:rPr>
        <w:t xml:space="preserve">(ext)</w:t>
      </w:r>
      <w:r>
        <w:rPr>
          <w:rFonts w:ascii="Arial" w:eastAsia="游ゴシック" w:hAnsi="Arial"/>
          <w:color w:val="000000"/>
          <w:sz w:val="21"/>
          <w:szCs w:val="21"/>
        </w:rPr>
        <w:t xml:space="preserve"> S</w:t>
      </w:r>
      <w:r>
        <w:rPr>
          <w:rFonts w:ascii="Arial" w:eastAsia="游ゴシック" w:hAnsi="Arial"/>
          <w:color w:val="000000"/>
          <w:sz w:val="14"/>
          <w:szCs w:val="14"/>
          <w:vertAlign w:val="subscript"/>
        </w:rPr>
        <w:t xml:space="preserve">H</w:t>
      </w:r>
      <w:r>
        <w:rPr>
          <w:rFonts w:ascii="Arial" w:eastAsia="游ゴシック" w:hAnsi="Arial"/>
          <w:color w:val="000000"/>
          <w:sz w:val="21"/>
          <w:szCs w:val="21"/>
        </w:rPr>
        <w:t xml:space="preserve"> ≠ 0 ⇒ δg</w:t>
      </w:r>
      <w:r>
        <w:rPr>
          <w:rFonts w:ascii="Arial" w:eastAsia="游ゴシック" w:hAnsi="Arial"/>
          <w:color w:val="000000"/>
          <w:sz w:val="14"/>
          <w:szCs w:val="14"/>
          <w:vertAlign w:val="subscript"/>
        </w:rPr>
        <w:t xml:space="preserve">μν</w:t>
      </w:r>
      <w:r>
        <w:rPr>
          <w:rFonts w:ascii="Arial" w:eastAsia="游ゴシック" w:hAnsi="Arial"/>
          <w:color w:val="000000"/>
          <w:sz w:val="14"/>
          <w:szCs w:val="14"/>
          <w:vertAlign w:val="superscript"/>
        </w:rPr>
        <w:t xml:space="preserve">(ext)</w:t>
      </w:r>
      <w:r>
        <w:rPr>
          <w:rFonts w:ascii="Arial" w:eastAsia="游ゴシック" w:hAnsi="Arial"/>
          <w:color w:val="000000"/>
          <w:sz w:val="21"/>
          <w:szCs w:val="21"/>
        </w:rPr>
        <w:t xml:space="preserve"> ≠ 0</w:t>
      </w:r>
    </w:p>
    <w:p>
      <w:pPr>
        <w:spacing w:after="138" w:line="266" w:lineRule="auto"/>
        <w:jc w:val="both"/>
      </w:pPr>
      <w:r>
        <w:rPr>
          <w:rFonts w:ascii="Arial" w:eastAsia="游ゴシック" w:hAnsi="Arial"/>
          <w:color w:val="333333"/>
          <w:sz w:val="21"/>
          <w:szCs w:val="21"/>
        </w:rPr>
        <w:t xml:space="preserve">こうして動的な外部計量 ── 四重極重力放射 ── が生じる。自由電子と束縛電子の対比は次表のとおりである。</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3600"/>
        <w:gridCol w:w="3600"/>
      </w:tblGrid>
      <w:tr>
        <w:trPr>
          <w:tblHeader/>
        </w:trPr>
        <w:tc>
          <w:tcPr>
            <w:tcW w:type="dxa" w:w="2160"/>
            <w:tcBorders>
              <w:top w:val="single" w:color="DDDDDD" w:sz="2"/>
              <w:left w:val="single" w:color="DDDDDD" w:sz="2"/>
              <w:bottom w:val="single" w:color="DDDDDD" w:sz="2"/>
              <w:right w:val="single" w:color="DDDDDD" w:sz="2"/>
            </w:tcBorders>
            <w:shd w:fill="003D82" w:color="auto" w:val="clear"/>
            <w:tcMar>
              <w:top w:type="dxa" w:w="74"/>
              <w:left w:type="dxa" w:w="110"/>
              <w:bottom w:type="dxa" w:w="74"/>
              <w:right w:type="dxa" w:w="110"/>
            </w:tcMar>
          </w:tcPr>
          <w:p>
            <w:r>
              <w:rPr>
                <w:rFonts w:ascii="Arial" w:eastAsia="游ゴシック" w:hAnsi="Arial"/>
                <w:b/>
                <w:bCs/>
                <w:color w:val="FFFFFF"/>
                <w:spacing w:val="8"/>
                <w:sz w:val="18"/>
                <w:szCs w:val="18"/>
              </w:rPr>
              <w:t xml:space="preserve">観点</w:t>
            </w:r>
          </w:p>
        </w:tc>
        <w:tc>
          <w:tcPr>
            <w:tcW w:type="dxa" w:w="3600"/>
            <w:tcBorders>
              <w:top w:val="single" w:color="DDDDDD" w:sz="2"/>
              <w:left w:val="single" w:color="DDDDDD" w:sz="2"/>
              <w:bottom w:val="single" w:color="DDDDDD" w:sz="2"/>
              <w:right w:val="single" w:color="DDDDDD" w:sz="2"/>
            </w:tcBorders>
            <w:shd w:fill="003D82" w:color="auto" w:val="clear"/>
            <w:tcMar>
              <w:top w:type="dxa" w:w="74"/>
              <w:left w:type="dxa" w:w="110"/>
              <w:bottom w:type="dxa" w:w="74"/>
              <w:right w:type="dxa" w:w="110"/>
            </w:tcMar>
          </w:tcPr>
          <w:p>
            <w:r>
              <w:rPr>
                <w:rFonts w:ascii="Arial" w:eastAsia="游ゴシック" w:hAnsi="Arial"/>
                <w:b/>
                <w:bCs/>
                <w:color w:val="FFFFFF"/>
                <w:spacing w:val="8"/>
                <w:sz w:val="18"/>
                <w:szCs w:val="18"/>
              </w:rPr>
              <w:t xml:space="preserve">自由電子</w:t>
            </w:r>
          </w:p>
        </w:tc>
        <w:tc>
          <w:tcPr>
            <w:tcW w:type="dxa" w:w="3600"/>
            <w:tcBorders>
              <w:top w:val="single" w:color="DDDDDD" w:sz="2"/>
              <w:left w:val="single" w:color="DDDDDD" w:sz="2"/>
              <w:bottom w:val="single" w:color="DDDDDD" w:sz="2"/>
              <w:right w:val="single" w:color="DDDDDD" w:sz="2"/>
            </w:tcBorders>
            <w:shd w:fill="003D82" w:color="auto" w:val="clear"/>
            <w:tcMar>
              <w:top w:type="dxa" w:w="74"/>
              <w:left w:type="dxa" w:w="110"/>
              <w:bottom w:type="dxa" w:w="74"/>
              <w:right w:type="dxa" w:w="110"/>
            </w:tcMar>
          </w:tcPr>
          <w:p>
            <w:r>
              <w:rPr>
                <w:rFonts w:ascii="Arial" w:eastAsia="游ゴシック" w:hAnsi="Arial"/>
                <w:b/>
                <w:bCs/>
                <w:color w:val="FFFFFF"/>
                <w:spacing w:val="8"/>
                <w:sz w:val="18"/>
                <w:szCs w:val="18"/>
              </w:rPr>
              <w:t xml:space="preserve">束縛電子（水素原子）</w:t>
            </w:r>
          </w:p>
        </w:tc>
      </w:tr>
      <w:tr>
        <w:tc>
          <w:tcPr>
            <w:tcW w:type="dxa" w:w="2160"/>
            <w:tcBorders>
              <w:top w:val="single" w:color="DDDDDD" w:sz="2"/>
              <w:left w:val="single" w:color="DDDDDD" w:sz="2"/>
              <w:bottom w:val="single" w:color="DDDDDD" w:sz="2"/>
              <w:right w:val="single" w:color="DDDDDD" w:sz="2"/>
            </w:tcBorders>
            <w:shd w:fill="FFFFFF" w:color="auto" w:val="clear"/>
            <w:tcMar>
              <w:top w:type="dxa" w:w="68"/>
              <w:left w:type="dxa" w:w="110"/>
              <w:bottom w:type="dxa" w:w="68"/>
              <w:right w:type="dxa" w:w="110"/>
            </w:tcMar>
          </w:tcPr>
          <w:p>
            <w:pPr>
              <w:spacing w:line="254" w:lineRule="auto"/>
            </w:pPr>
            <w:r>
              <w:rPr>
                <w:rFonts w:ascii="Arial" w:eastAsia="游ゴシック" w:hAnsi="Arial"/>
                <w:b/>
                <w:bCs/>
                <w:color w:val="000000"/>
                <w:sz w:val="18"/>
                <w:szCs w:val="18"/>
              </w:rPr>
              <w:t xml:space="preserve">端点変分</w:t>
            </w:r>
          </w:p>
        </w:tc>
        <w:tc>
          <w:tcPr>
            <w:tcW w:type="dxa" w:w="3600"/>
            <w:tcBorders>
              <w:top w:val="single" w:color="DDDDDD" w:sz="2"/>
              <w:left w:val="single" w:color="DDDDDD" w:sz="2"/>
              <w:bottom w:val="single" w:color="DDDDDD" w:sz="2"/>
              <w:right w:val="single" w:color="DDDDDD" w:sz="2"/>
            </w:tcBorders>
            <w:shd w:fill="FFFFFF" w:color="auto" w:val="clear"/>
            <w:tcMar>
              <w:top w:type="dxa" w:w="68"/>
              <w:left w:type="dxa" w:w="110"/>
              <w:bottom w:type="dxa" w:w="68"/>
              <w:right w:type="dxa" w:w="110"/>
            </w:tcMar>
          </w:tcPr>
          <w:p>
            <w:pPr>
              <w:spacing w:line="254" w:lineRule="auto"/>
            </w:pPr>
            <w:r>
              <w:rPr>
                <w:rFonts w:ascii="Arial" w:eastAsia="游ゴシック" w:hAnsi="Arial"/>
                <w:b w:val="false"/>
                <w:bCs w:val="false"/>
                <w:color w:val="333333"/>
                <w:sz w:val="18"/>
                <w:szCs w:val="18"/>
              </w:rPr>
              <w:t xml:space="preserve">外部端点変分なし（δ = 0）</w:t>
            </w:r>
          </w:p>
        </w:tc>
        <w:tc>
          <w:tcPr>
            <w:tcW w:type="dxa" w:w="3600"/>
            <w:tcBorders>
              <w:top w:val="single" w:color="DDDDDD" w:sz="2"/>
              <w:left w:val="single" w:color="DDDDDD" w:sz="2"/>
              <w:bottom w:val="single" w:color="DDDDDD" w:sz="2"/>
              <w:right w:val="single" w:color="DDDDDD" w:sz="2"/>
            </w:tcBorders>
            <w:shd w:fill="FFFFFF" w:color="auto" w:val="clear"/>
            <w:tcMar>
              <w:top w:type="dxa" w:w="68"/>
              <w:left w:type="dxa" w:w="110"/>
              <w:bottom w:type="dxa" w:w="68"/>
              <w:right w:type="dxa" w:w="110"/>
            </w:tcMar>
          </w:tcPr>
          <w:p>
            <w:pPr>
              <w:spacing w:line="254" w:lineRule="auto"/>
            </w:pPr>
            <w:r>
              <w:rPr>
                <w:rFonts w:ascii="Arial" w:eastAsia="游ゴシック" w:hAnsi="Arial"/>
                <w:b w:val="false"/>
                <w:bCs w:val="false"/>
                <w:color w:val="333333"/>
                <w:sz w:val="18"/>
                <w:szCs w:val="18"/>
              </w:rPr>
              <w:t xml:space="preserve">軌道運動が端点変分を供給（δ ≠ 0）</w:t>
            </w:r>
          </w:p>
        </w:tc>
      </w:tr>
      <w:tr>
        <w:tc>
          <w:tcPr>
            <w:tcW w:type="dxa" w:w="2160"/>
            <w:tcBorders>
              <w:top w:val="single" w:color="DDDDDD" w:sz="2"/>
              <w:left w:val="single" w:color="DDDDDD" w:sz="2"/>
              <w:bottom w:val="single" w:color="DDDDDD" w:sz="2"/>
              <w:right w:val="single" w:color="DDDDDD" w:sz="2"/>
            </w:tcBorders>
            <w:shd w:fill="F9F9F9" w:color="auto" w:val="clear"/>
            <w:tcMar>
              <w:top w:type="dxa" w:w="68"/>
              <w:left w:type="dxa" w:w="110"/>
              <w:bottom w:type="dxa" w:w="68"/>
              <w:right w:type="dxa" w:w="110"/>
            </w:tcMar>
          </w:tcPr>
          <w:p>
            <w:pPr>
              <w:spacing w:line="254" w:lineRule="auto"/>
            </w:pPr>
            <w:r>
              <w:rPr>
                <w:rFonts w:ascii="Arial" w:eastAsia="游ゴシック" w:hAnsi="Arial"/>
                <w:b/>
                <w:bCs/>
                <w:color w:val="000000"/>
                <w:sz w:val="18"/>
                <w:szCs w:val="18"/>
              </w:rPr>
              <w:t xml:space="preserve">ZB軸の向き</w:t>
            </w:r>
          </w:p>
        </w:tc>
        <w:tc>
          <w:tcPr>
            <w:tcW w:type="dxa" w:w="3600"/>
            <w:tcBorders>
              <w:top w:val="single" w:color="DDDDDD" w:sz="2"/>
              <w:left w:val="single" w:color="DDDDDD" w:sz="2"/>
              <w:bottom w:val="single" w:color="DDDDDD" w:sz="2"/>
              <w:right w:val="single" w:color="DDDDDD" w:sz="2"/>
            </w:tcBorders>
            <w:shd w:fill="F9F9F9" w:color="auto" w:val="clear"/>
            <w:tcMar>
              <w:top w:type="dxa" w:w="68"/>
              <w:left w:type="dxa" w:w="110"/>
              <w:bottom w:type="dxa" w:w="68"/>
              <w:right w:type="dxa" w:w="110"/>
            </w:tcMar>
          </w:tcPr>
          <w:p>
            <w:pPr>
              <w:spacing w:line="254" w:lineRule="auto"/>
            </w:pPr>
            <w:r>
              <w:rPr>
                <w:rFonts w:ascii="Arial" w:eastAsia="游ゴシック" w:hAnsi="Arial"/>
                <w:b w:val="false"/>
                <w:bCs w:val="false"/>
                <w:color w:val="333333"/>
                <w:sz w:val="18"/>
                <w:szCs w:val="18"/>
              </w:rPr>
              <w:t xml:space="preserve">歳差運動し定まらない</w:t>
            </w:r>
          </w:p>
        </w:tc>
        <w:tc>
          <w:tcPr>
            <w:tcW w:type="dxa" w:w="3600"/>
            <w:tcBorders>
              <w:top w:val="single" w:color="DDDDDD" w:sz="2"/>
              <w:left w:val="single" w:color="DDDDDD" w:sz="2"/>
              <w:bottom w:val="single" w:color="DDDDDD" w:sz="2"/>
              <w:right w:val="single" w:color="DDDDDD" w:sz="2"/>
            </w:tcBorders>
            <w:shd w:fill="F9F9F9" w:color="auto" w:val="clear"/>
            <w:tcMar>
              <w:top w:type="dxa" w:w="68"/>
              <w:left w:type="dxa" w:w="110"/>
              <w:bottom w:type="dxa" w:w="68"/>
              <w:right w:type="dxa" w:w="110"/>
            </w:tcMar>
          </w:tcPr>
          <w:p>
            <w:pPr>
              <w:spacing w:line="254" w:lineRule="auto"/>
            </w:pPr>
            <w:r>
              <w:rPr>
                <w:rFonts w:ascii="Arial" w:eastAsia="游ゴシック" w:hAnsi="Arial"/>
                <w:b w:val="false"/>
                <w:bCs w:val="false"/>
                <w:color w:val="333333"/>
                <w:sz w:val="18"/>
                <w:szCs w:val="18"/>
              </w:rPr>
              <w:t xml:space="preserve">陽子-電子方向 r̂ にロック</w:t>
            </w:r>
          </w:p>
        </w:tc>
      </w:tr>
      <w:tr>
        <w:tc>
          <w:tcPr>
            <w:tcW w:type="dxa" w:w="2160"/>
            <w:tcBorders>
              <w:top w:val="single" w:color="DDDDDD" w:sz="2"/>
              <w:left w:val="single" w:color="DDDDDD" w:sz="2"/>
              <w:bottom w:val="single" w:color="DDDDDD" w:sz="2"/>
              <w:right w:val="single" w:color="DDDDDD" w:sz="2"/>
            </w:tcBorders>
            <w:shd w:fill="FFFFFF" w:color="auto" w:val="clear"/>
            <w:tcMar>
              <w:top w:type="dxa" w:w="68"/>
              <w:left w:type="dxa" w:w="110"/>
              <w:bottom w:type="dxa" w:w="68"/>
              <w:right w:type="dxa" w:w="110"/>
            </w:tcMar>
          </w:tcPr>
          <w:p>
            <w:pPr>
              <w:spacing w:line="254" w:lineRule="auto"/>
            </w:pPr>
            <w:r>
              <w:rPr>
                <w:rFonts w:ascii="Arial" w:eastAsia="游ゴシック" w:hAnsi="Arial"/>
                <w:b/>
                <w:bCs/>
                <w:color w:val="000000"/>
                <w:sz w:val="18"/>
                <w:szCs w:val="18"/>
              </w:rPr>
              <w:t xml:space="preserve">外部計量</w:t>
            </w:r>
          </w:p>
        </w:tc>
        <w:tc>
          <w:tcPr>
            <w:tcW w:type="dxa" w:w="3600"/>
            <w:tcBorders>
              <w:top w:val="single" w:color="DDDDDD" w:sz="2"/>
              <w:left w:val="single" w:color="DDDDDD" w:sz="2"/>
              <w:bottom w:val="single" w:color="DDDDDD" w:sz="2"/>
              <w:right w:val="single" w:color="DDDDDD" w:sz="2"/>
            </w:tcBorders>
            <w:shd w:fill="FFFFFF" w:color="auto" w:val="clear"/>
            <w:tcMar>
              <w:top w:type="dxa" w:w="68"/>
              <w:left w:type="dxa" w:w="110"/>
              <w:bottom w:type="dxa" w:w="68"/>
              <w:right w:type="dxa" w:w="110"/>
            </w:tcMar>
          </w:tcPr>
          <w:p>
            <w:pPr>
              <w:spacing w:line="254" w:lineRule="auto"/>
            </w:pPr>
            <w:r>
              <w:rPr>
                <w:rFonts w:ascii="Arial" w:eastAsia="游ゴシック" w:hAnsi="Arial"/>
                <w:b w:val="false"/>
                <w:bCs w:val="false"/>
                <w:color w:val="333333"/>
                <w:sz w:val="18"/>
                <w:szCs w:val="18"/>
              </w:rPr>
              <w:t xml:space="preserve">動的変化なし（閉じたカプセル）</w:t>
            </w:r>
          </w:p>
        </w:tc>
        <w:tc>
          <w:tcPr>
            <w:tcW w:type="dxa" w:w="3600"/>
            <w:tcBorders>
              <w:top w:val="single" w:color="DDDDDD" w:sz="2"/>
              <w:left w:val="single" w:color="DDDDDD" w:sz="2"/>
              <w:bottom w:val="single" w:color="DDDDDD" w:sz="2"/>
              <w:right w:val="single" w:color="DDDDDD" w:sz="2"/>
            </w:tcBorders>
            <w:shd w:fill="FFFFFF" w:color="auto" w:val="clear"/>
            <w:tcMar>
              <w:top w:type="dxa" w:w="68"/>
              <w:left w:type="dxa" w:w="110"/>
              <w:bottom w:type="dxa" w:w="68"/>
              <w:right w:type="dxa" w:w="110"/>
            </w:tcMar>
          </w:tcPr>
          <w:p>
            <w:pPr>
              <w:spacing w:line="254" w:lineRule="auto"/>
            </w:pPr>
            <w:r>
              <w:rPr>
                <w:rFonts w:ascii="Arial" w:eastAsia="游ゴシック" w:hAnsi="Arial"/>
                <w:b w:val="false"/>
                <w:bCs w:val="false"/>
                <w:color w:val="333333"/>
                <w:sz w:val="18"/>
                <w:szCs w:val="18"/>
              </w:rPr>
              <w:t xml:space="preserve">動的な g μν が生じる</w:t>
            </w:r>
          </w:p>
        </w:tc>
      </w:tr>
      <w:tr>
        <w:tc>
          <w:tcPr>
            <w:tcW w:type="dxa" w:w="2160"/>
            <w:tcBorders>
              <w:top w:val="single" w:color="DDDDDD" w:sz="2"/>
              <w:left w:val="single" w:color="DDDDDD" w:sz="2"/>
              <w:bottom w:val="single" w:color="DDDDDD" w:sz="2"/>
              <w:right w:val="single" w:color="DDDDDD" w:sz="2"/>
            </w:tcBorders>
            <w:shd w:fill="F9F9F9" w:color="auto" w:val="clear"/>
            <w:tcMar>
              <w:top w:type="dxa" w:w="68"/>
              <w:left w:type="dxa" w:w="110"/>
              <w:bottom w:type="dxa" w:w="68"/>
              <w:right w:type="dxa" w:w="110"/>
            </w:tcMar>
          </w:tcPr>
          <w:p>
            <w:pPr>
              <w:spacing w:line="254" w:lineRule="auto"/>
            </w:pPr>
            <w:r>
              <w:rPr>
                <w:rFonts w:ascii="Arial" w:eastAsia="游ゴシック" w:hAnsi="Arial"/>
                <w:b/>
                <w:bCs/>
                <w:color w:val="000000"/>
                <w:sz w:val="18"/>
                <w:szCs w:val="18"/>
              </w:rPr>
              <w:t xml:space="preserve">重力波放射</w:t>
            </w:r>
          </w:p>
        </w:tc>
        <w:tc>
          <w:tcPr>
            <w:tcW w:type="dxa" w:w="3600"/>
            <w:tcBorders>
              <w:top w:val="single" w:color="DDDDDD" w:sz="2"/>
              <w:left w:val="single" w:color="DDDDDD" w:sz="2"/>
              <w:bottom w:val="single" w:color="DDDDDD" w:sz="2"/>
              <w:right w:val="single" w:color="DDDDDD" w:sz="2"/>
            </w:tcBorders>
            <w:shd w:fill="F9F9F9" w:color="auto" w:val="clear"/>
            <w:tcMar>
              <w:top w:type="dxa" w:w="68"/>
              <w:left w:type="dxa" w:w="110"/>
              <w:bottom w:type="dxa" w:w="68"/>
              <w:right w:type="dxa" w:w="110"/>
            </w:tcMar>
          </w:tcPr>
          <w:p>
            <w:pPr>
              <w:spacing w:line="254" w:lineRule="auto"/>
            </w:pPr>
            <w:r>
              <w:rPr>
                <w:rFonts w:ascii="Arial" w:eastAsia="游ゴシック" w:hAnsi="Arial"/>
                <w:b w:val="false"/>
                <w:bCs w:val="false"/>
                <w:color w:val="333333"/>
                <w:sz w:val="18"/>
                <w:szCs w:val="18"/>
              </w:rPr>
              <w:t xml:space="preserve">実質的に抑制（成立条件）</w:t>
            </w:r>
          </w:p>
        </w:tc>
        <w:tc>
          <w:tcPr>
            <w:tcW w:type="dxa" w:w="3600"/>
            <w:tcBorders>
              <w:top w:val="single" w:color="DDDDDD" w:sz="2"/>
              <w:left w:val="single" w:color="DDDDDD" w:sz="2"/>
              <w:bottom w:val="single" w:color="DDDDDD" w:sz="2"/>
              <w:right w:val="single" w:color="DDDDDD" w:sz="2"/>
            </w:tcBorders>
            <w:shd w:fill="F9F9F9" w:color="auto" w:val="clear"/>
            <w:tcMar>
              <w:top w:type="dxa" w:w="68"/>
              <w:left w:type="dxa" w:w="110"/>
              <w:bottom w:type="dxa" w:w="68"/>
              <w:right w:type="dxa" w:w="110"/>
            </w:tcMar>
          </w:tcPr>
          <w:p>
            <w:pPr>
              <w:spacing w:line="254" w:lineRule="auto"/>
            </w:pPr>
            <w:r>
              <w:rPr>
                <w:rFonts w:ascii="Arial" w:eastAsia="游ゴシック" w:hAnsi="Arial"/>
                <w:b w:val="false"/>
                <w:bCs w:val="false"/>
                <w:color w:val="333333"/>
                <w:sz w:val="18"/>
                <w:szCs w:val="18"/>
              </w:rPr>
              <w:t xml:space="preserve">微小だが非零・指向性あり</w:t>
            </w:r>
          </w:p>
        </w:tc>
      </w:tr>
    </w:tbl>
    <w:p>
      <w:pPr>
        <w:spacing w:after="64"/>
      </w:pPr>
    </w:p>
    <w:p>
      <w:pPr>
        <w:spacing w:after="136" w:line="266" w:lineRule="auto"/>
        <w:jc w:val="both"/>
      </w:pPr>
      <w:r>
        <w:rPr>
          <w:rFonts w:ascii="Arial" w:eastAsia="游ゴシック" w:hAnsi="Arial"/>
          <w:color w:val="333333"/>
          <w:sz w:val="21"/>
          <w:szCs w:val="21"/>
        </w:rPr>
        <w:t xml:space="preserve">重力波放射は自由電子そのものではなく、端点変分を可能にする束縛系から生じる。水素原子は、線積分の存在論が重力の側で非零の結果を与える最小のテストケースである。</w:t>
      </w:r>
    </w:p>
    <w:p>
      <w:pPr>
        <w:pBdr>
          <w:bottom w:val="single" w:color="DDDDDD" w:sz="6" w:space="5"/>
        </w:pBdr>
        <w:spacing w:after="146" w:before="230"/>
      </w:pPr>
      <w:r>
        <w:rPr>
          <w:rFonts w:ascii="Times New Roman" w:eastAsia="游明朝" w:hAnsi="Times New Roman"/>
          <w:b/>
          <w:bCs/>
          <w:color w:val="003D82"/>
          <w:sz w:val="26"/>
          <w:szCs w:val="26"/>
        </w:rPr>
        <w:t xml:space="preserve">§6  </w:t>
      </w:r>
      <w:r>
        <w:rPr>
          <w:rFonts w:ascii="Times New Roman" w:eastAsia="游明朝" w:hAnsi="Times New Roman"/>
          <w:b/>
          <w:bCs/>
          <w:color w:val="000000"/>
          <w:sz w:val="26"/>
          <w:szCs w:val="26"/>
        </w:rPr>
        <w:t xml:space="preserve">位相安定性 ── 位相のトポロジカルなリセット</w:t>
      </w:r>
    </w:p>
    <w:p>
      <w:pPr>
        <w:spacing w:after="136" w:line="266" w:lineRule="auto"/>
        <w:jc w:val="both"/>
      </w:pPr>
      <w:r>
        <w:rPr>
          <w:rFonts w:ascii="Arial" w:eastAsia="游ゴシック" w:hAnsi="Arial"/>
          <w:color w:val="333333"/>
          <w:sz w:val="21"/>
          <w:szCs w:val="21"/>
        </w:rPr>
        <w:t xml:space="preserve">四重極の振動がサイクルをまたいで蓄積するには、位相が安定でなければならない。著者は外部的なコヒーレンス（位相同期）を用いない。電子内部運動は 4π 周期をもち、各半周期 θ = nπ でエネルギーが完全に一方の核へ戻り、確定したエネルギー固有状態となる。位相はこの境界でリセットされ、サイクルをまたいでドリフトしない。論文はこの機構を 4π 周期境界条件（4π-cycle boundary condition）と呼び、その根拠を Paper #1 の内部エネルギー恒等式に置く。</w:t>
      </w:r>
    </w:p>
    <w:p>
      <w:pPr>
        <w:spacing w:after="136" w:line="266" w:lineRule="auto"/>
        <w:jc w:val="both"/>
      </w:pPr>
      <w:r>
        <w:rPr>
          <w:rFonts w:ascii="Arial" w:eastAsia="游ゴシック" w:hAnsi="Arial"/>
          <w:color w:val="333333"/>
          <w:sz w:val="21"/>
          <w:szCs w:val="21"/>
        </w:rPr>
        <w:t xml:space="preserve">ここにも線積分の存在論が一貫している。局所場の理論は軌道の履歴を二次的に扱うため、位相の安定を「外からの同期」に求める。0-Sphere モデルは逆に、位相の安定を軌道の境界条件 ── トポロジカルなリセット ── から導く。「外からの位相コヒーレンス」ではなく「トポロジーからの位相リセット」である。Appendix A はこの対比を主題とし、単なる補足ではなく、シリーズの哲学が現れる箇所となっている。</w:t>
      </w:r>
    </w:p>
    <w:p>
      <w:pPr>
        <w:pBdr>
          <w:bottom w:val="single" w:color="DDDDDD" w:sz="6" w:space="5"/>
        </w:pBdr>
        <w:spacing w:after="146" w:before="230"/>
      </w:pPr>
      <w:r>
        <w:rPr>
          <w:rFonts w:ascii="Times New Roman" w:eastAsia="游明朝" w:hAnsi="Times New Roman"/>
          <w:b/>
          <w:bCs/>
          <w:color w:val="003D82"/>
          <w:sz w:val="26"/>
          <w:szCs w:val="26"/>
        </w:rPr>
        <w:t xml:space="preserve">§7  </w:t>
      </w:r>
      <w:r>
        <w:rPr>
          <w:rFonts w:ascii="Times New Roman" w:eastAsia="游明朝" w:hAnsi="Times New Roman"/>
          <w:b/>
          <w:bCs/>
          <w:color w:val="000000"/>
          <w:sz w:val="26"/>
          <w:szCs w:val="26"/>
        </w:rPr>
        <w:t xml:space="preserve">なぜ四重極か／重力・電磁気の方向分離</w:t>
      </w:r>
    </w:p>
    <w:p>
      <w:pPr>
        <w:spacing w:after="138" w:line="266" w:lineRule="auto"/>
        <w:jc w:val="both"/>
      </w:pPr>
      <w:r>
        <w:rPr>
          <w:rFonts w:ascii="Arial" w:eastAsia="游ゴシック" w:hAnsi="Arial"/>
          <w:color w:val="333333"/>
          <w:sz w:val="21"/>
          <w:szCs w:val="21"/>
        </w:rPr>
        <w:t xml:space="preserve">なぜ重力が四重極なのかは標準理論と整合する。質量エネルギーは常に正であり、monopole（総質量）は保存して放射せず、dipole（重心運動）も運動量保存により放射しない。最初に放射しうるのは quadrupole である。また内部ヘリカル運動の3方向には、異なる物理的役割が割り当てられる。</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760"/>
        <w:gridCol w:w="4200"/>
      </w:tblGrid>
      <w:tr>
        <w:trPr>
          <w:tblHeader/>
        </w:trPr>
        <w:tc>
          <w:tcPr>
            <w:tcW w:type="dxa" w:w="2400"/>
            <w:tcBorders>
              <w:top w:val="single" w:color="DDDDDD" w:sz="2"/>
              <w:left w:val="single" w:color="DDDDDD" w:sz="2"/>
              <w:bottom w:val="single" w:color="DDDDDD" w:sz="2"/>
              <w:right w:val="single" w:color="DDDDDD" w:sz="2"/>
            </w:tcBorders>
            <w:shd w:fill="003D82" w:color="auto" w:val="clear"/>
            <w:tcMar>
              <w:top w:type="dxa" w:w="74"/>
              <w:left w:type="dxa" w:w="110"/>
              <w:bottom w:type="dxa" w:w="74"/>
              <w:right w:type="dxa" w:w="110"/>
            </w:tcMar>
          </w:tcPr>
          <w:p>
            <w:r>
              <w:rPr>
                <w:rFonts w:ascii="Arial" w:eastAsia="游ゴシック" w:hAnsi="Arial"/>
                <w:b/>
                <w:bCs/>
                <w:color w:val="FFFFFF"/>
                <w:spacing w:val="8"/>
                <w:sz w:val="18"/>
                <w:szCs w:val="18"/>
              </w:rPr>
              <w:t xml:space="preserve">方向</w:t>
            </w:r>
          </w:p>
        </w:tc>
        <w:tc>
          <w:tcPr>
            <w:tcW w:type="dxa" w:w="2760"/>
            <w:tcBorders>
              <w:top w:val="single" w:color="DDDDDD" w:sz="2"/>
              <w:left w:val="single" w:color="DDDDDD" w:sz="2"/>
              <w:bottom w:val="single" w:color="DDDDDD" w:sz="2"/>
              <w:right w:val="single" w:color="DDDDDD" w:sz="2"/>
            </w:tcBorders>
            <w:shd w:fill="003D82" w:color="auto" w:val="clear"/>
            <w:tcMar>
              <w:top w:type="dxa" w:w="74"/>
              <w:left w:type="dxa" w:w="110"/>
              <w:bottom w:type="dxa" w:w="74"/>
              <w:right w:type="dxa" w:w="110"/>
            </w:tcMar>
          </w:tcPr>
          <w:p>
            <w:r>
              <w:rPr>
                <w:rFonts w:ascii="Arial" w:eastAsia="游ゴシック" w:hAnsi="Arial"/>
                <w:b/>
                <w:bCs/>
                <w:color w:val="FFFFFF"/>
                <w:spacing w:val="8"/>
                <w:sz w:val="18"/>
                <w:szCs w:val="18"/>
              </w:rPr>
              <w:t xml:space="preserve">物理セクター</w:t>
            </w:r>
          </w:p>
        </w:tc>
        <w:tc>
          <w:tcPr>
            <w:tcW w:type="dxa" w:w="4200"/>
            <w:tcBorders>
              <w:top w:val="single" w:color="DDDDDD" w:sz="2"/>
              <w:left w:val="single" w:color="DDDDDD" w:sz="2"/>
              <w:bottom w:val="single" w:color="DDDDDD" w:sz="2"/>
              <w:right w:val="single" w:color="DDDDDD" w:sz="2"/>
            </w:tcBorders>
            <w:shd w:fill="003D82" w:color="auto" w:val="clear"/>
            <w:tcMar>
              <w:top w:type="dxa" w:w="74"/>
              <w:left w:type="dxa" w:w="110"/>
              <w:bottom w:type="dxa" w:w="74"/>
              <w:right w:type="dxa" w:w="110"/>
            </w:tcMar>
          </w:tcPr>
          <w:p>
            <w:r>
              <w:rPr>
                <w:rFonts w:ascii="Arial" w:eastAsia="游ゴシック" w:hAnsi="Arial"/>
                <w:b/>
                <w:bCs/>
                <w:color w:val="FFFFFF"/>
                <w:spacing w:val="8"/>
                <w:sz w:val="18"/>
                <w:szCs w:val="18"/>
              </w:rPr>
              <w:t xml:space="preserve">駆動機構</w:t>
            </w:r>
          </w:p>
        </w:tc>
      </w:tr>
      <w:tr>
        <w:tc>
          <w:tcPr>
            <w:tcW w:type="dxa" w:w="2400"/>
            <w:tcBorders>
              <w:top w:val="single" w:color="DDDDDD" w:sz="2"/>
              <w:left w:val="single" w:color="DDDDDD" w:sz="2"/>
              <w:bottom w:val="single" w:color="DDDDDD" w:sz="2"/>
              <w:right w:val="single" w:color="DDDDDD" w:sz="2"/>
            </w:tcBorders>
            <w:shd w:fill="FFFFFF" w:color="auto" w:val="clear"/>
            <w:tcMar>
              <w:top w:type="dxa" w:w="68"/>
              <w:left w:type="dxa" w:w="110"/>
              <w:bottom w:type="dxa" w:w="68"/>
              <w:right w:type="dxa" w:w="110"/>
            </w:tcMar>
          </w:tcPr>
          <w:p>
            <w:pPr>
              <w:spacing w:line="254" w:lineRule="auto"/>
            </w:pPr>
            <w:r>
              <w:rPr>
                <w:rFonts w:ascii="Arial" w:eastAsia="游ゴシック" w:hAnsi="Arial"/>
                <w:b/>
                <w:bCs/>
                <w:color w:val="000000"/>
                <w:sz w:val="18"/>
                <w:szCs w:val="18"/>
              </w:rPr>
              <w:t xml:space="preserve">êₓ（速度方向）</w:t>
            </w:r>
          </w:p>
        </w:tc>
        <w:tc>
          <w:tcPr>
            <w:tcW w:type="dxa" w:w="2760"/>
            <w:tcBorders>
              <w:top w:val="single" w:color="DDDDDD" w:sz="2"/>
              <w:left w:val="single" w:color="DDDDDD" w:sz="2"/>
              <w:bottom w:val="single" w:color="DDDDDD" w:sz="2"/>
              <w:right w:val="single" w:color="DDDDDD" w:sz="2"/>
            </w:tcBorders>
            <w:shd w:fill="FFFFFF" w:color="auto" w:val="clear"/>
            <w:tcMar>
              <w:top w:type="dxa" w:w="68"/>
              <w:left w:type="dxa" w:w="110"/>
              <w:bottom w:type="dxa" w:w="68"/>
              <w:right w:type="dxa" w:w="110"/>
            </w:tcMar>
          </w:tcPr>
          <w:p>
            <w:pPr>
              <w:spacing w:line="254" w:lineRule="auto"/>
            </w:pPr>
            <w:r>
              <w:rPr>
                <w:rFonts w:ascii="Arial" w:eastAsia="游ゴシック" w:hAnsi="Arial"/>
                <w:b w:val="false"/>
                <w:bCs w:val="false"/>
                <w:color w:val="333333"/>
                <w:sz w:val="18"/>
                <w:szCs w:val="18"/>
              </w:rPr>
              <w:t xml:space="preserve">重力セクター</w:t>
            </w:r>
          </w:p>
        </w:tc>
        <w:tc>
          <w:tcPr>
            <w:tcW w:type="dxa" w:w="4200"/>
            <w:tcBorders>
              <w:top w:val="single" w:color="DDDDDD" w:sz="2"/>
              <w:left w:val="single" w:color="DDDDDD" w:sz="2"/>
              <w:bottom w:val="single" w:color="DDDDDD" w:sz="2"/>
              <w:right w:val="single" w:color="DDDDDD" w:sz="2"/>
            </w:tcBorders>
            <w:shd w:fill="FFFFFF" w:color="auto" w:val="clear"/>
            <w:tcMar>
              <w:top w:type="dxa" w:w="68"/>
              <w:left w:type="dxa" w:w="110"/>
              <w:bottom w:type="dxa" w:w="68"/>
              <w:right w:type="dxa" w:w="110"/>
            </w:tcMar>
          </w:tcPr>
          <w:p>
            <w:pPr>
              <w:spacing w:line="254" w:lineRule="auto"/>
            </w:pPr>
            <w:r>
              <w:rPr>
                <w:rFonts w:ascii="Arial" w:eastAsia="游ゴシック" w:hAnsi="Arial"/>
                <w:b w:val="false"/>
                <w:bCs w:val="false"/>
                <w:color w:val="333333"/>
                <w:sz w:val="18"/>
                <w:szCs w:val="18"/>
              </w:rPr>
              <w:t xml:space="preserve">転換点非対称性（端点変分）</w:t>
            </w:r>
          </w:p>
        </w:tc>
      </w:tr>
      <w:tr>
        <w:tc>
          <w:tcPr>
            <w:tcW w:type="dxa" w:w="2400"/>
            <w:tcBorders>
              <w:top w:val="single" w:color="DDDDDD" w:sz="2"/>
              <w:left w:val="single" w:color="DDDDDD" w:sz="2"/>
              <w:bottom w:val="single" w:color="DDDDDD" w:sz="2"/>
              <w:right w:val="single" w:color="DDDDDD" w:sz="2"/>
            </w:tcBorders>
            <w:shd w:fill="F9F9F9" w:color="auto" w:val="clear"/>
            <w:tcMar>
              <w:top w:type="dxa" w:w="68"/>
              <w:left w:type="dxa" w:w="110"/>
              <w:bottom w:type="dxa" w:w="68"/>
              <w:right w:type="dxa" w:w="110"/>
            </w:tcMar>
          </w:tcPr>
          <w:p>
            <w:pPr>
              <w:spacing w:line="254" w:lineRule="auto"/>
            </w:pPr>
            <w:r>
              <w:rPr>
                <w:rFonts w:ascii="Arial" w:eastAsia="游ゴシック" w:hAnsi="Arial"/>
                <w:b/>
                <w:bCs/>
                <w:color w:val="000000"/>
                <w:sz w:val="18"/>
                <w:szCs w:val="18"/>
              </w:rPr>
              <w:t xml:space="preserve">êᵧ（加速度方向）</w:t>
            </w:r>
          </w:p>
        </w:tc>
        <w:tc>
          <w:tcPr>
            <w:tcW w:type="dxa" w:w="2760"/>
            <w:tcBorders>
              <w:top w:val="single" w:color="DDDDDD" w:sz="2"/>
              <w:left w:val="single" w:color="DDDDDD" w:sz="2"/>
              <w:bottom w:val="single" w:color="DDDDDD" w:sz="2"/>
              <w:right w:val="single" w:color="DDDDDD" w:sz="2"/>
            </w:tcBorders>
            <w:shd w:fill="F9F9F9" w:color="auto" w:val="clear"/>
            <w:tcMar>
              <w:top w:type="dxa" w:w="68"/>
              <w:left w:type="dxa" w:w="110"/>
              <w:bottom w:type="dxa" w:w="68"/>
              <w:right w:type="dxa" w:w="110"/>
            </w:tcMar>
          </w:tcPr>
          <w:p>
            <w:pPr>
              <w:spacing w:line="254" w:lineRule="auto"/>
            </w:pPr>
            <w:r>
              <w:rPr>
                <w:rFonts w:ascii="Arial" w:eastAsia="游ゴシック" w:hAnsi="Arial"/>
                <w:b w:val="false"/>
                <w:bCs w:val="false"/>
                <w:color w:val="333333"/>
                <w:sz w:val="18"/>
                <w:szCs w:val="18"/>
              </w:rPr>
              <w:t xml:space="preserve">電磁気セクター</w:t>
            </w:r>
          </w:p>
        </w:tc>
        <w:tc>
          <w:tcPr>
            <w:tcW w:type="dxa" w:w="4200"/>
            <w:tcBorders>
              <w:top w:val="single" w:color="DDDDDD" w:sz="2"/>
              <w:left w:val="single" w:color="DDDDDD" w:sz="2"/>
              <w:bottom w:val="single" w:color="DDDDDD" w:sz="2"/>
              <w:right w:val="single" w:color="DDDDDD" w:sz="2"/>
            </w:tcBorders>
            <w:shd w:fill="F9F9F9" w:color="auto" w:val="clear"/>
            <w:tcMar>
              <w:top w:type="dxa" w:w="68"/>
              <w:left w:type="dxa" w:w="110"/>
              <w:bottom w:type="dxa" w:w="68"/>
              <w:right w:type="dxa" w:w="110"/>
            </w:tcMar>
          </w:tcPr>
          <w:p>
            <w:pPr>
              <w:spacing w:line="254" w:lineRule="auto"/>
            </w:pPr>
            <w:r>
              <w:rPr>
                <w:rFonts w:ascii="Arial" w:eastAsia="游ゴシック" w:hAnsi="Arial"/>
                <w:b w:val="false"/>
                <w:bCs w:val="false"/>
                <w:color w:val="333333"/>
                <w:sz w:val="18"/>
                <w:szCs w:val="18"/>
              </w:rPr>
              <w:t xml:space="preserve">光子球の向心加速度（経路変分・Larmor 放射）</w:t>
            </w:r>
          </w:p>
        </w:tc>
      </w:tr>
      <w:tr>
        <w:tc>
          <w:tcPr>
            <w:tcW w:type="dxa" w:w="2400"/>
            <w:tcBorders>
              <w:top w:val="single" w:color="DDDDDD" w:sz="2"/>
              <w:left w:val="single" w:color="DDDDDD" w:sz="2"/>
              <w:bottom w:val="single" w:color="DDDDDD" w:sz="2"/>
              <w:right w:val="single" w:color="DDDDDD" w:sz="2"/>
            </w:tcBorders>
            <w:shd w:fill="FFFFFF" w:color="auto" w:val="clear"/>
            <w:tcMar>
              <w:top w:type="dxa" w:w="68"/>
              <w:left w:type="dxa" w:w="110"/>
              <w:bottom w:type="dxa" w:w="68"/>
              <w:right w:type="dxa" w:w="110"/>
            </w:tcMar>
          </w:tcPr>
          <w:p>
            <w:pPr>
              <w:spacing w:line="254" w:lineRule="auto"/>
            </w:pPr>
            <w:r>
              <w:rPr>
                <w:rFonts w:ascii="Arial" w:eastAsia="游ゴシック" w:hAnsi="Arial"/>
                <w:b/>
                <w:bCs/>
                <w:color w:val="000000"/>
                <w:sz w:val="18"/>
                <w:szCs w:val="18"/>
              </w:rPr>
              <w:t xml:space="preserve">ê_z</w:t>
            </w:r>
          </w:p>
        </w:tc>
        <w:tc>
          <w:tcPr>
            <w:tcW w:type="dxa" w:w="2760"/>
            <w:tcBorders>
              <w:top w:val="single" w:color="DDDDDD" w:sz="2"/>
              <w:left w:val="single" w:color="DDDDDD" w:sz="2"/>
              <w:bottom w:val="single" w:color="DDDDDD" w:sz="2"/>
              <w:right w:val="single" w:color="DDDDDD" w:sz="2"/>
            </w:tcBorders>
            <w:shd w:fill="FFFFFF" w:color="auto" w:val="clear"/>
            <w:tcMar>
              <w:top w:type="dxa" w:w="68"/>
              <w:left w:type="dxa" w:w="110"/>
              <w:bottom w:type="dxa" w:w="68"/>
              <w:right w:type="dxa" w:w="110"/>
            </w:tcMar>
          </w:tcPr>
          <w:p>
            <w:pPr>
              <w:spacing w:line="254" w:lineRule="auto"/>
            </w:pPr>
            <w:r>
              <w:rPr>
                <w:rFonts w:ascii="Arial" w:eastAsia="游ゴシック" w:hAnsi="Arial"/>
                <w:b w:val="false"/>
                <w:bCs w:val="false"/>
                <w:color w:val="333333"/>
                <w:sz w:val="18"/>
                <w:szCs w:val="18"/>
              </w:rPr>
              <w:t xml:space="preserve">スピンセクター</w:t>
            </w:r>
          </w:p>
        </w:tc>
        <w:tc>
          <w:tcPr>
            <w:tcW w:type="dxa" w:w="4200"/>
            <w:tcBorders>
              <w:top w:val="single" w:color="DDDDDD" w:sz="2"/>
              <w:left w:val="single" w:color="DDDDDD" w:sz="2"/>
              <w:bottom w:val="single" w:color="DDDDDD" w:sz="2"/>
              <w:right w:val="single" w:color="DDDDDD" w:sz="2"/>
            </w:tcBorders>
            <w:shd w:fill="FFFFFF" w:color="auto" w:val="clear"/>
            <w:tcMar>
              <w:top w:type="dxa" w:w="68"/>
              <w:left w:type="dxa" w:w="110"/>
              <w:bottom w:type="dxa" w:w="68"/>
              <w:right w:type="dxa" w:w="110"/>
            </w:tcMar>
          </w:tcPr>
          <w:p>
            <w:pPr>
              <w:spacing w:line="254" w:lineRule="auto"/>
            </w:pPr>
            <w:r>
              <w:rPr>
                <w:rFonts w:ascii="Arial" w:eastAsia="游ゴシック" w:hAnsi="Arial"/>
                <w:b w:val="false"/>
                <w:bCs w:val="false"/>
                <w:color w:val="333333"/>
                <w:sz w:val="18"/>
                <w:szCs w:val="18"/>
              </w:rPr>
              <w:t xml:space="preserve">Thomas 歳差（Berry 位相）</w:t>
            </w:r>
          </w:p>
        </w:tc>
      </w:tr>
    </w:tbl>
    <w:p>
      <w:pPr>
        <w:spacing w:after="64"/>
      </w:pPr>
    </w:p>
    <w:p>
      <w:pPr>
        <w:spacing w:after="136" w:line="266" w:lineRule="auto"/>
        <w:jc w:val="both"/>
      </w:pPr>
      <w:r>
        <w:rPr>
          <w:rFonts w:ascii="Arial" w:eastAsia="游ゴシック" w:hAnsi="Arial"/>
          <w:color w:val="333333"/>
          <w:sz w:val="21"/>
          <w:szCs w:val="21"/>
        </w:rPr>
        <w:t xml:space="preserve">重力（êₓ）と電磁気（êᵧ）は内部力学的に結合せず、結合チャネルを共有しない。これは §3 の二変分構造の帰結であり、重力波が電磁場をほとんど透過するという既知の事実の微視的な説明になる。</w:t>
      </w:r>
    </w:p>
    <w:p>
      <w:pPr>
        <w:pBdr>
          <w:bottom w:val="single" w:color="DDDDDD" w:sz="6" w:space="5"/>
        </w:pBdr>
        <w:spacing w:after="146" w:before="230"/>
      </w:pPr>
      <w:r>
        <w:rPr>
          <w:rFonts w:ascii="Times New Roman" w:eastAsia="游明朝" w:hAnsi="Times New Roman"/>
          <w:b/>
          <w:bCs/>
          <w:color w:val="003D82"/>
          <w:sz w:val="26"/>
          <w:szCs w:val="26"/>
        </w:rPr>
        <w:t xml:space="preserve">§8  </w:t>
      </w:r>
      <w:r>
        <w:rPr>
          <w:rFonts w:ascii="Times New Roman" w:eastAsia="游明朝" w:hAnsi="Times New Roman"/>
          <w:b/>
          <w:bCs/>
          <w:color w:val="000000"/>
          <w:sz w:val="26"/>
          <w:szCs w:val="26"/>
        </w:rPr>
        <w:t xml:space="preserve">陽子内部構造への拡張（仮説的）</w:t>
      </w:r>
    </w:p>
    <w:p>
      <w:pPr>
        <w:spacing w:after="136" w:line="266" w:lineRule="auto"/>
        <w:jc w:val="both"/>
      </w:pPr>
      <w:r>
        <w:rPr>
          <w:rFonts w:ascii="Arial" w:eastAsia="游ゴシック" w:hAnsi="Arial"/>
          <w:color w:val="333333"/>
          <w:sz w:val="21"/>
          <w:szCs w:val="21"/>
        </w:rPr>
        <w:t xml:space="preserve">論文後半は、陽子内部のクォーク構造・グルーオン・confinement を 0-Sphere の枠組みへ対応づける試みに触れる。例えば2つの up quark を ZB の担い手、down quark を光子球に対応する有効エネルギー構造の媒介とする対応が候補として挙げられる。著者自身、この対応づけが仮説的（speculative）であることを繰り返し明記しており、現時点では着想の段階にとどまる。</w:t>
      </w:r>
    </w:p>
    <w:p>
      <w:pPr>
        <w:pBdr>
          <w:bottom w:val="single" w:color="DDDDDD" w:sz="6" w:space="5"/>
        </w:pBdr>
        <w:spacing w:after="146" w:before="230"/>
      </w:pPr>
      <w:r>
        <w:rPr>
          <w:rFonts w:ascii="Times New Roman" w:eastAsia="游明朝" w:hAnsi="Times New Roman"/>
          <w:b/>
          <w:bCs/>
          <w:color w:val="003D82"/>
          <w:sz w:val="26"/>
          <w:szCs w:val="26"/>
        </w:rPr>
        <w:t xml:space="preserve">§9  </w:t>
      </w:r>
      <w:r>
        <w:rPr>
          <w:rFonts w:ascii="Times New Roman" w:eastAsia="游明朝" w:hAnsi="Times New Roman"/>
          <w:b/>
          <w:bCs/>
          <w:color w:val="000000"/>
          <w:sz w:val="26"/>
          <w:szCs w:val="26"/>
        </w:rPr>
        <w:t xml:space="preserve">位置づけ ── 強い存在論と、未完の架橋</w:t>
      </w:r>
    </w:p>
    <w:p>
      <w:pPr>
        <w:spacing w:after="136" w:line="266" w:lineRule="auto"/>
        <w:jc w:val="both"/>
      </w:pPr>
      <w:r>
        <w:rPr>
          <w:rFonts w:ascii="Arial" w:eastAsia="游ゴシック" w:hAnsi="Arial"/>
          <w:color w:val="333333"/>
          <w:sz w:val="21"/>
          <w:szCs w:val="21"/>
        </w:rPr>
        <w:t xml:space="preserve">本論文は標準模型・QED・一般相対論の正式な拡張ではない。その強みは存在論にある。物理の一次量を経路に蓄積された位相に置く姿勢は、本シリーズを一貫して貫いている。Appendix A・B が単なる補足ではなく、むしろシリーズの哲学が最も濃く現れる箇所であるのもそのためである。</w:t>
      </w:r>
    </w:p>
    <w:p>
      <w:pPr>
        <w:spacing w:after="150" w:line="266" w:lineRule="auto"/>
        <w:jc w:val="both"/>
      </w:pPr>
      <w:r>
        <w:rPr>
          <w:rFonts w:ascii="Arial" w:eastAsia="游ゴシック" w:hAnsi="Arial"/>
          <w:color w:val="333333"/>
          <w:sz w:val="21"/>
          <w:szCs w:val="21"/>
        </w:rPr>
        <w:t xml:space="preserve">なお、場の理論の枠組み自体も、真空エネルギーの予測値が観測値と約120桁隔たるという未解決の問題を抱えており、場の存在論からの離脱は、この種の困難への一つの応答という側面ももつ。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F7FA" w:sz="2"/>
              <w:left w:val="single" w:color="003D82" w:sz="22"/>
              <w:bottom w:val="single" w:color="F5F7FA" w:sz="2"/>
              <w:right w:val="single" w:color="F5F7FA" w:sz="2"/>
            </w:tcBorders>
            <w:shd w:fill="F5F7FA" w:color="auto" w:val="clear"/>
            <w:tcMar>
              <w:top w:type="dxa" w:w="146"/>
              <w:left w:type="dxa" w:w="220"/>
              <w:bottom w:type="dxa" w:w="146"/>
              <w:right w:type="dxa" w:w="200"/>
            </w:tcMar>
          </w:tcPr>
          <w:p>
            <w:pPr>
              <w:spacing w:after="76"/>
            </w:pPr>
            <w:r>
              <w:rPr>
                <w:rFonts w:ascii="Arial" w:eastAsia="游ゴシック" w:hAnsi="Arial"/>
                <w:b/>
                <w:bCs/>
                <w:color w:val="003D82"/>
                <w:spacing w:val="12"/>
                <w:sz w:val="19"/>
                <w:szCs w:val="19"/>
              </w:rPr>
              <w:t xml:space="preserve">位置づけ ── 構造提案として</w:t>
            </w:r>
          </w:p>
          <w:p>
            <w:pPr>
              <w:spacing w:line="266" w:lineRule="auto"/>
              <w:jc w:val="both"/>
            </w:pPr>
            <w:r>
              <w:rPr>
                <w:rFonts w:ascii="Arial" w:eastAsia="游ゴシック" w:hAnsi="Arial"/>
                <w:color w:val="555555"/>
                <w:sz w:val="21"/>
                <w:szCs w:val="21"/>
              </w:rPr>
              <w:t xml:space="preserve">一方で最大の課題も明確である。線積分の存在論は、場の理論の言葉で表現されてきた検証済みの内容 ── gauge 不変性、Lorentz 共変性、散乱振幅、確立した諸スペクトル ── を、自らは場の存在論へ戻ることなく再現する対応関係（架橋）を、まだ確立していない。求められているのは場の理論へ「降りる」ことではなく、場の理論の言葉で得られた経験的成果と線積分の枠組みとを照合可能にすることである。論文自身も open task (C) でこれを未確立と認めている。Paper #59 は、その存在論を重力の側で試す一つのテストケースとして読むのが最も正確である。</w:t>
            </w:r>
          </w:p>
        </w:tc>
      </w:tr>
    </w:tbl>
    <w:p>
      <w:pPr>
        <w:spacing w:after="36"/>
      </w:pPr>
    </w:p>
    <w:p>
      <w:pPr>
        <w:pBdr>
          <w:bottom w:val="single" w:color="DDDDDD" w:sz="6" w:space="5"/>
        </w:pBdr>
        <w:spacing w:after="146" w:before="230"/>
      </w:pPr>
      <w:r>
        <w:rPr>
          <w:rFonts w:ascii="Times New Roman" w:eastAsia="游明朝" w:hAnsi="Times New Roman"/>
          <w:b/>
          <w:bCs/>
          <w:color w:val="000000"/>
          <w:sz w:val="26"/>
          <w:szCs w:val="26"/>
        </w:rPr>
        <w:t xml:space="preserve">主要用語 ── 早わかり</w:t>
      </w:r>
    </w:p>
    <w:p>
      <w:pPr>
        <w:spacing w:after="138" w:line="266" w:lineRule="auto"/>
        <w:jc w:val="both"/>
      </w:pPr>
      <w:r>
        <w:rPr>
          <w:rFonts w:ascii="Arial" w:eastAsia="游ゴシック" w:hAnsi="Arial"/>
          <w:color w:val="333333"/>
          <w:sz w:val="21"/>
          <w:szCs w:val="21"/>
        </w:rPr>
        <w:t xml:space="preserve">本概説で繰り返し用いた術語を、簡潔にまとめる。</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80"/>
        <w:gridCol w:w="6680"/>
      </w:tblGrid>
      <w:tr>
        <w:trPr>
          <w:tblHeader/>
        </w:trPr>
        <w:tc>
          <w:tcPr>
            <w:tcW w:type="dxa" w:w="2680"/>
            <w:tcBorders>
              <w:top w:val="single" w:color="DDDDDD" w:sz="2"/>
              <w:left w:val="single" w:color="DDDDDD" w:sz="2"/>
              <w:bottom w:val="single" w:color="DDDDDD" w:sz="2"/>
              <w:right w:val="single" w:color="DDDDDD" w:sz="2"/>
            </w:tcBorders>
            <w:shd w:fill="003D82" w:color="auto" w:val="clear"/>
            <w:tcMar>
              <w:top w:type="dxa" w:w="74"/>
              <w:left w:type="dxa" w:w="110"/>
              <w:bottom w:type="dxa" w:w="74"/>
              <w:right w:type="dxa" w:w="110"/>
            </w:tcMar>
          </w:tcPr>
          <w:p>
            <w:r>
              <w:rPr>
                <w:rFonts w:ascii="Arial" w:eastAsia="游ゴシック" w:hAnsi="Arial"/>
                <w:b/>
                <w:bCs/>
                <w:color w:val="FFFFFF"/>
                <w:spacing w:val="8"/>
                <w:sz w:val="18"/>
                <w:szCs w:val="18"/>
              </w:rPr>
              <w:t xml:space="preserve">用語</w:t>
            </w:r>
          </w:p>
        </w:tc>
        <w:tc>
          <w:tcPr>
            <w:tcW w:type="dxa" w:w="6680"/>
            <w:tcBorders>
              <w:top w:val="single" w:color="DDDDDD" w:sz="2"/>
              <w:left w:val="single" w:color="DDDDDD" w:sz="2"/>
              <w:bottom w:val="single" w:color="DDDDDD" w:sz="2"/>
              <w:right w:val="single" w:color="DDDDDD" w:sz="2"/>
            </w:tcBorders>
            <w:shd w:fill="003D82" w:color="auto" w:val="clear"/>
            <w:tcMar>
              <w:top w:type="dxa" w:w="74"/>
              <w:left w:type="dxa" w:w="110"/>
              <w:bottom w:type="dxa" w:w="74"/>
              <w:right w:type="dxa" w:w="110"/>
            </w:tcMar>
          </w:tcPr>
          <w:p>
            <w:r>
              <w:rPr>
                <w:rFonts w:ascii="Arial" w:eastAsia="游ゴシック" w:hAnsi="Arial"/>
                <w:b/>
                <w:bCs/>
                <w:color w:val="FFFFFF"/>
                <w:spacing w:val="8"/>
                <w:sz w:val="18"/>
                <w:szCs w:val="18"/>
              </w:rPr>
              <w:t xml:space="preserve">説明</w:t>
            </w:r>
          </w:p>
        </w:tc>
      </w:tr>
      <w:tr>
        <w:tc>
          <w:tcPr>
            <w:tcW w:type="dxa" w:w="2680"/>
            <w:tcBorders>
              <w:top w:val="single" w:color="DDDDDD" w:sz="2"/>
              <w:left w:val="single" w:color="DDDDDD" w:sz="2"/>
              <w:bottom w:val="single" w:color="DDDDDD" w:sz="2"/>
              <w:right w:val="single" w:color="DDDDDD" w:sz="2"/>
            </w:tcBorders>
            <w:shd w:fill="FFFFFF" w:color="auto" w:val="clear"/>
            <w:tcMar>
              <w:top w:type="dxa" w:w="68"/>
              <w:left w:type="dxa" w:w="110"/>
              <w:bottom w:type="dxa" w:w="68"/>
              <w:right w:type="dxa" w:w="110"/>
            </w:tcMar>
          </w:tcPr>
          <w:p>
            <w:pPr>
              <w:spacing w:line="254" w:lineRule="auto"/>
            </w:pPr>
            <w:r>
              <w:rPr>
                <w:rFonts w:ascii="Arial" w:eastAsia="游ゴシック" w:hAnsi="Arial"/>
                <w:b/>
                <w:bCs/>
                <w:color w:val="000000"/>
                <w:sz w:val="18"/>
                <w:szCs w:val="18"/>
              </w:rPr>
              <w:t xml:space="preserve">Zitterbewegung（ZB）</w:t>
            </w:r>
          </w:p>
        </w:tc>
        <w:tc>
          <w:tcPr>
            <w:tcW w:type="dxa" w:w="6680"/>
            <w:tcBorders>
              <w:top w:val="single" w:color="DDDDDD" w:sz="2"/>
              <w:left w:val="single" w:color="DDDDDD" w:sz="2"/>
              <w:bottom w:val="single" w:color="DDDDDD" w:sz="2"/>
              <w:right w:val="single" w:color="DDDDDD" w:sz="2"/>
            </w:tcBorders>
            <w:shd w:fill="FFFFFF" w:color="auto" w:val="clear"/>
            <w:tcMar>
              <w:top w:type="dxa" w:w="68"/>
              <w:left w:type="dxa" w:w="110"/>
              <w:bottom w:type="dxa" w:w="68"/>
              <w:right w:type="dxa" w:w="110"/>
            </w:tcMar>
          </w:tcPr>
          <w:p>
            <w:pPr>
              <w:spacing w:line="254" w:lineRule="auto"/>
            </w:pPr>
            <w:r>
              <w:rPr>
                <w:rFonts w:ascii="Arial" w:eastAsia="游ゴシック" w:hAnsi="Arial"/>
                <w:b w:val="false"/>
                <w:bCs w:val="false"/>
                <w:color w:val="333333"/>
                <w:sz w:val="18"/>
                <w:szCs w:val="18"/>
              </w:rPr>
              <w:t xml:space="preserve">電子内部に仮定される超高速の振動運動。本モデルはこれを重力の源とみなす。</w:t>
            </w:r>
          </w:p>
        </w:tc>
      </w:tr>
      <w:tr>
        <w:tc>
          <w:tcPr>
            <w:tcW w:type="dxa" w:w="2680"/>
            <w:tcBorders>
              <w:top w:val="single" w:color="DDDDDD" w:sz="2"/>
              <w:left w:val="single" w:color="DDDDDD" w:sz="2"/>
              <w:bottom w:val="single" w:color="DDDDDD" w:sz="2"/>
              <w:right w:val="single" w:color="DDDDDD" w:sz="2"/>
            </w:tcBorders>
            <w:shd w:fill="F9F9F9" w:color="auto" w:val="clear"/>
            <w:tcMar>
              <w:top w:type="dxa" w:w="68"/>
              <w:left w:type="dxa" w:w="110"/>
              <w:bottom w:type="dxa" w:w="68"/>
              <w:right w:type="dxa" w:w="110"/>
            </w:tcMar>
          </w:tcPr>
          <w:p>
            <w:pPr>
              <w:spacing w:line="254" w:lineRule="auto"/>
            </w:pPr>
            <w:r>
              <w:rPr>
                <w:rFonts w:ascii="Arial" w:eastAsia="游ゴシック" w:hAnsi="Arial"/>
                <w:b/>
                <w:bCs/>
                <w:color w:val="000000"/>
                <w:sz w:val="18"/>
                <w:szCs w:val="18"/>
              </w:rPr>
              <w:t xml:space="preserve">二核と光子球</w:t>
            </w:r>
          </w:p>
        </w:tc>
        <w:tc>
          <w:tcPr>
            <w:tcW w:type="dxa" w:w="6680"/>
            <w:tcBorders>
              <w:top w:val="single" w:color="DDDDDD" w:sz="2"/>
              <w:left w:val="single" w:color="DDDDDD" w:sz="2"/>
              <w:bottom w:val="single" w:color="DDDDDD" w:sz="2"/>
              <w:right w:val="single" w:color="DDDDDD" w:sz="2"/>
            </w:tcBorders>
            <w:shd w:fill="F9F9F9" w:color="auto" w:val="clear"/>
            <w:tcMar>
              <w:top w:type="dxa" w:w="68"/>
              <w:left w:type="dxa" w:w="110"/>
              <w:bottom w:type="dxa" w:w="68"/>
              <w:right w:type="dxa" w:w="110"/>
            </w:tcMar>
          </w:tcPr>
          <w:p>
            <w:pPr>
              <w:spacing w:line="254" w:lineRule="auto"/>
            </w:pPr>
            <w:r>
              <w:rPr>
                <w:rFonts w:ascii="Arial" w:eastAsia="游ゴシック" w:hAnsi="Arial"/>
                <w:b w:val="false"/>
                <w:bCs w:val="false"/>
                <w:color w:val="333333"/>
                <w:sz w:val="18"/>
                <w:szCs w:val="18"/>
              </w:rPr>
              <w:t xml:space="preserve">電子内部の2つの熱力学的核（Kernel A・B）と、それらを結び内部振動を閉じ込める構造（photon sphere）。</w:t>
            </w:r>
          </w:p>
        </w:tc>
      </w:tr>
      <w:tr>
        <w:tc>
          <w:tcPr>
            <w:tcW w:type="dxa" w:w="2680"/>
            <w:tcBorders>
              <w:top w:val="single" w:color="DDDDDD" w:sz="2"/>
              <w:left w:val="single" w:color="DDDDDD" w:sz="2"/>
              <w:bottom w:val="single" w:color="DDDDDD" w:sz="2"/>
              <w:right w:val="single" w:color="DDDDDD" w:sz="2"/>
            </w:tcBorders>
            <w:shd w:fill="FFFFFF" w:color="auto" w:val="clear"/>
            <w:tcMar>
              <w:top w:type="dxa" w:w="68"/>
              <w:left w:type="dxa" w:w="110"/>
              <w:bottom w:type="dxa" w:w="68"/>
              <w:right w:type="dxa" w:w="110"/>
            </w:tcMar>
          </w:tcPr>
          <w:p>
            <w:pPr>
              <w:spacing w:line="254" w:lineRule="auto"/>
            </w:pPr>
            <w:r>
              <w:rPr>
                <w:rFonts w:ascii="Arial" w:eastAsia="游ゴシック" w:hAnsi="Arial"/>
                <w:b/>
                <w:bCs/>
                <w:color w:val="000000"/>
                <w:sz w:val="18"/>
                <w:szCs w:val="18"/>
              </w:rPr>
              <w:t xml:space="preserve">線積分 S(xA, xB)</w:t>
            </w:r>
          </w:p>
        </w:tc>
        <w:tc>
          <w:tcPr>
            <w:tcW w:type="dxa" w:w="6680"/>
            <w:tcBorders>
              <w:top w:val="single" w:color="DDDDDD" w:sz="2"/>
              <w:left w:val="single" w:color="DDDDDD" w:sz="2"/>
              <w:bottom w:val="single" w:color="DDDDDD" w:sz="2"/>
              <w:right w:val="single" w:color="DDDDDD" w:sz="2"/>
            </w:tcBorders>
            <w:shd w:fill="FFFFFF" w:color="auto" w:val="clear"/>
            <w:tcMar>
              <w:top w:type="dxa" w:w="68"/>
              <w:left w:type="dxa" w:w="110"/>
              <w:bottom w:type="dxa" w:w="68"/>
              <w:right w:type="dxa" w:w="110"/>
            </w:tcMar>
          </w:tcPr>
          <w:p>
            <w:pPr>
              <w:spacing w:line="254" w:lineRule="auto"/>
            </w:pPr>
            <w:r>
              <w:rPr>
                <w:rFonts w:ascii="Arial" w:eastAsia="游ゴシック" w:hAnsi="Arial"/>
                <w:b w:val="false"/>
                <w:bCs w:val="false"/>
                <w:color w:val="333333"/>
                <w:sz w:val="18"/>
                <w:szCs w:val="18"/>
              </w:rPr>
              <w:t xml:space="preserve">経路 γ に沿って蓄積された位相。本モデルが物理の一次量とみなす量。</w:t>
            </w:r>
          </w:p>
        </w:tc>
      </w:tr>
      <w:tr>
        <w:tc>
          <w:tcPr>
            <w:tcW w:type="dxa" w:w="2680"/>
            <w:tcBorders>
              <w:top w:val="single" w:color="DDDDDD" w:sz="2"/>
              <w:left w:val="single" w:color="DDDDDD" w:sz="2"/>
              <w:bottom w:val="single" w:color="DDDDDD" w:sz="2"/>
              <w:right w:val="single" w:color="DDDDDD" w:sz="2"/>
            </w:tcBorders>
            <w:shd w:fill="F9F9F9" w:color="auto" w:val="clear"/>
            <w:tcMar>
              <w:top w:type="dxa" w:w="68"/>
              <w:left w:type="dxa" w:w="110"/>
              <w:bottom w:type="dxa" w:w="68"/>
              <w:right w:type="dxa" w:w="110"/>
            </w:tcMar>
          </w:tcPr>
          <w:p>
            <w:pPr>
              <w:spacing w:line="254" w:lineRule="auto"/>
            </w:pPr>
            <w:r>
              <w:rPr>
                <w:rFonts w:ascii="Arial" w:eastAsia="游ゴシック" w:hAnsi="Arial"/>
                <w:b/>
                <w:bCs/>
                <w:color w:val="000000"/>
                <w:sz w:val="18"/>
                <w:szCs w:val="18"/>
              </w:rPr>
              <w:t xml:space="preserve">経路変分（path variation）</w:t>
            </w:r>
          </w:p>
        </w:tc>
        <w:tc>
          <w:tcPr>
            <w:tcW w:type="dxa" w:w="6680"/>
            <w:tcBorders>
              <w:top w:val="single" w:color="DDDDDD" w:sz="2"/>
              <w:left w:val="single" w:color="DDDDDD" w:sz="2"/>
              <w:bottom w:val="single" w:color="DDDDDD" w:sz="2"/>
              <w:right w:val="single" w:color="DDDDDD" w:sz="2"/>
            </w:tcBorders>
            <w:shd w:fill="F9F9F9" w:color="auto" w:val="clear"/>
            <w:tcMar>
              <w:top w:type="dxa" w:w="68"/>
              <w:left w:type="dxa" w:w="110"/>
              <w:bottom w:type="dxa" w:w="68"/>
              <w:right w:type="dxa" w:w="110"/>
            </w:tcMar>
          </w:tcPr>
          <w:p>
            <w:pPr>
              <w:spacing w:line="254" w:lineRule="auto"/>
            </w:pPr>
            <w:r>
              <w:rPr>
                <w:rFonts w:ascii="Arial" w:eastAsia="游ゴシック" w:hAnsi="Arial"/>
                <w:b w:val="false"/>
                <w:bCs w:val="false"/>
                <w:color w:val="333333"/>
                <w:sz w:val="18"/>
                <w:szCs w:val="18"/>
              </w:rPr>
              <w:t xml:space="preserve">端点を固定したまま経路を変形する操作。場の強さ F μν（電磁気セクター）を生む。</w:t>
            </w:r>
          </w:p>
        </w:tc>
      </w:tr>
      <w:tr>
        <w:tc>
          <w:tcPr>
            <w:tcW w:type="dxa" w:w="2680"/>
            <w:tcBorders>
              <w:top w:val="single" w:color="DDDDDD" w:sz="2"/>
              <w:left w:val="single" w:color="DDDDDD" w:sz="2"/>
              <w:bottom w:val="single" w:color="DDDDDD" w:sz="2"/>
              <w:right w:val="single" w:color="DDDDDD" w:sz="2"/>
            </w:tcBorders>
            <w:shd w:fill="FFFFFF" w:color="auto" w:val="clear"/>
            <w:tcMar>
              <w:top w:type="dxa" w:w="68"/>
              <w:left w:type="dxa" w:w="110"/>
              <w:bottom w:type="dxa" w:w="68"/>
              <w:right w:type="dxa" w:w="110"/>
            </w:tcMar>
          </w:tcPr>
          <w:p>
            <w:pPr>
              <w:spacing w:line="254" w:lineRule="auto"/>
            </w:pPr>
            <w:r>
              <w:rPr>
                <w:rFonts w:ascii="Arial" w:eastAsia="游ゴシック" w:hAnsi="Arial"/>
                <w:b/>
                <w:bCs/>
                <w:color w:val="000000"/>
                <w:sz w:val="18"/>
                <w:szCs w:val="18"/>
              </w:rPr>
              <w:t xml:space="preserve">端点変分（endpoint variation）</w:t>
            </w:r>
          </w:p>
        </w:tc>
        <w:tc>
          <w:tcPr>
            <w:tcW w:type="dxa" w:w="6680"/>
            <w:tcBorders>
              <w:top w:val="single" w:color="DDDDDD" w:sz="2"/>
              <w:left w:val="single" w:color="DDDDDD" w:sz="2"/>
              <w:bottom w:val="single" w:color="DDDDDD" w:sz="2"/>
              <w:right w:val="single" w:color="DDDDDD" w:sz="2"/>
            </w:tcBorders>
            <w:shd w:fill="FFFFFF" w:color="auto" w:val="clear"/>
            <w:tcMar>
              <w:top w:type="dxa" w:w="68"/>
              <w:left w:type="dxa" w:w="110"/>
              <w:bottom w:type="dxa" w:w="68"/>
              <w:right w:type="dxa" w:w="110"/>
            </w:tcMar>
          </w:tcPr>
          <w:p>
            <w:pPr>
              <w:spacing w:line="254" w:lineRule="auto"/>
            </w:pPr>
            <w:r>
              <w:rPr>
                <w:rFonts w:ascii="Arial" w:eastAsia="游ゴシック" w:hAnsi="Arial"/>
                <w:b w:val="false"/>
                <w:bCs w:val="false"/>
                <w:color w:val="333333"/>
                <w:sz w:val="18"/>
                <w:szCs w:val="18"/>
              </w:rPr>
              <w:t xml:space="preserve">端点そのものを外部時空の中で動かす操作。時空計量 g μν（重力セクター）を生む。</w:t>
            </w:r>
          </w:p>
        </w:tc>
      </w:tr>
      <w:tr>
        <w:tc>
          <w:tcPr>
            <w:tcW w:type="dxa" w:w="2680"/>
            <w:tcBorders>
              <w:top w:val="single" w:color="DDDDDD" w:sz="2"/>
              <w:left w:val="single" w:color="DDDDDD" w:sz="2"/>
              <w:bottom w:val="single" w:color="DDDDDD" w:sz="2"/>
              <w:right w:val="single" w:color="DDDDDD" w:sz="2"/>
            </w:tcBorders>
            <w:shd w:fill="F9F9F9" w:color="auto" w:val="clear"/>
            <w:tcMar>
              <w:top w:type="dxa" w:w="68"/>
              <w:left w:type="dxa" w:w="110"/>
              <w:bottom w:type="dxa" w:w="68"/>
              <w:right w:type="dxa" w:w="110"/>
            </w:tcMar>
          </w:tcPr>
          <w:p>
            <w:pPr>
              <w:spacing w:line="254" w:lineRule="auto"/>
            </w:pPr>
            <w:r>
              <w:rPr>
                <w:rFonts w:ascii="Arial" w:eastAsia="游ゴシック" w:hAnsi="Arial"/>
                <w:b/>
                <w:bCs/>
                <w:color w:val="000000"/>
                <w:sz w:val="18"/>
                <w:szCs w:val="18"/>
              </w:rPr>
              <w:t xml:space="preserve">軸ロック（Axis Locking）</w:t>
            </w:r>
          </w:p>
        </w:tc>
        <w:tc>
          <w:tcPr>
            <w:tcW w:type="dxa" w:w="6680"/>
            <w:tcBorders>
              <w:top w:val="single" w:color="DDDDDD" w:sz="2"/>
              <w:left w:val="single" w:color="DDDDDD" w:sz="2"/>
              <w:bottom w:val="single" w:color="DDDDDD" w:sz="2"/>
              <w:right w:val="single" w:color="DDDDDD" w:sz="2"/>
            </w:tcBorders>
            <w:shd w:fill="F9F9F9" w:color="auto" w:val="clear"/>
            <w:tcMar>
              <w:top w:type="dxa" w:w="68"/>
              <w:left w:type="dxa" w:w="110"/>
              <w:bottom w:type="dxa" w:w="68"/>
              <w:right w:type="dxa" w:w="110"/>
            </w:tcMar>
          </w:tcPr>
          <w:p>
            <w:pPr>
              <w:spacing w:line="254" w:lineRule="auto"/>
            </w:pPr>
            <w:r>
              <w:rPr>
                <w:rFonts w:ascii="Arial" w:eastAsia="游ゴシック" w:hAnsi="Arial"/>
                <w:b w:val="false"/>
                <w:bCs w:val="false"/>
                <w:color w:val="333333"/>
                <w:sz w:val="18"/>
                <w:szCs w:val="18"/>
              </w:rPr>
              <w:t xml:space="preserve">陽子の Coulomb 場が電子の ZB 軸を陽子-電子方向 r̂ へ固定する効果。</w:t>
            </w:r>
          </w:p>
        </w:tc>
      </w:tr>
      <w:tr>
        <w:tc>
          <w:tcPr>
            <w:tcW w:type="dxa" w:w="2680"/>
            <w:tcBorders>
              <w:top w:val="single" w:color="DDDDDD" w:sz="2"/>
              <w:left w:val="single" w:color="DDDDDD" w:sz="2"/>
              <w:bottom w:val="single" w:color="DDDDDD" w:sz="2"/>
              <w:right w:val="single" w:color="DDDDDD" w:sz="2"/>
            </w:tcBorders>
            <w:shd w:fill="FFFFFF" w:color="auto" w:val="clear"/>
            <w:tcMar>
              <w:top w:type="dxa" w:w="68"/>
              <w:left w:type="dxa" w:w="110"/>
              <w:bottom w:type="dxa" w:w="68"/>
              <w:right w:type="dxa" w:w="110"/>
            </w:tcMar>
          </w:tcPr>
          <w:p>
            <w:pPr>
              <w:spacing w:line="254" w:lineRule="auto"/>
            </w:pPr>
            <w:r>
              <w:rPr>
                <w:rFonts w:ascii="Arial" w:eastAsia="游ゴシック" w:hAnsi="Arial"/>
                <w:b/>
                <w:bCs/>
                <w:color w:val="000000"/>
                <w:sz w:val="18"/>
                <w:szCs w:val="18"/>
              </w:rPr>
              <w:t xml:space="preserve">四重極モーメント</w:t>
            </w:r>
          </w:p>
        </w:tc>
        <w:tc>
          <w:tcPr>
            <w:tcW w:type="dxa" w:w="6680"/>
            <w:tcBorders>
              <w:top w:val="single" w:color="DDDDDD" w:sz="2"/>
              <w:left w:val="single" w:color="DDDDDD" w:sz="2"/>
              <w:bottom w:val="single" w:color="DDDDDD" w:sz="2"/>
              <w:right w:val="single" w:color="DDDDDD" w:sz="2"/>
            </w:tcBorders>
            <w:shd w:fill="FFFFFF" w:color="auto" w:val="clear"/>
            <w:tcMar>
              <w:top w:type="dxa" w:w="68"/>
              <w:left w:type="dxa" w:w="110"/>
              <w:bottom w:type="dxa" w:w="68"/>
              <w:right w:type="dxa" w:w="110"/>
            </w:tcMar>
          </w:tcPr>
          <w:p>
            <w:pPr>
              <w:spacing w:line="254" w:lineRule="auto"/>
            </w:pPr>
            <w:r>
              <w:rPr>
                <w:rFonts w:ascii="Arial" w:eastAsia="游ゴシック" w:hAnsi="Arial"/>
                <w:b w:val="false"/>
                <w:bCs w:val="false"/>
                <w:color w:val="333333"/>
                <w:sz w:val="18"/>
                <w:szCs w:val="18"/>
              </w:rPr>
              <w:t xml:space="preserve">質量分布の二次の空間モーメント。重力波放射が許される最低次の源。</w:t>
            </w:r>
          </w:p>
        </w:tc>
      </w:tr>
      <w:tr>
        <w:tc>
          <w:tcPr>
            <w:tcW w:type="dxa" w:w="2680"/>
            <w:tcBorders>
              <w:top w:val="single" w:color="DDDDDD" w:sz="2"/>
              <w:left w:val="single" w:color="DDDDDD" w:sz="2"/>
              <w:bottom w:val="single" w:color="DDDDDD" w:sz="2"/>
              <w:right w:val="single" w:color="DDDDDD" w:sz="2"/>
            </w:tcBorders>
            <w:shd w:fill="F9F9F9" w:color="auto" w:val="clear"/>
            <w:tcMar>
              <w:top w:type="dxa" w:w="68"/>
              <w:left w:type="dxa" w:w="110"/>
              <w:bottom w:type="dxa" w:w="68"/>
              <w:right w:type="dxa" w:w="110"/>
            </w:tcMar>
          </w:tcPr>
          <w:p>
            <w:pPr>
              <w:spacing w:line="254" w:lineRule="auto"/>
            </w:pPr>
            <w:r>
              <w:rPr>
                <w:rFonts w:ascii="Arial" w:eastAsia="游ゴシック" w:hAnsi="Arial"/>
                <w:b/>
                <w:bCs/>
                <w:color w:val="000000"/>
                <w:sz w:val="18"/>
                <w:szCs w:val="18"/>
              </w:rPr>
              <w:t xml:space="preserve">4π 周期境界条件</w:t>
            </w:r>
          </w:p>
        </w:tc>
        <w:tc>
          <w:tcPr>
            <w:tcW w:type="dxa" w:w="6680"/>
            <w:tcBorders>
              <w:top w:val="single" w:color="DDDDDD" w:sz="2"/>
              <w:left w:val="single" w:color="DDDDDD" w:sz="2"/>
              <w:bottom w:val="single" w:color="DDDDDD" w:sz="2"/>
              <w:right w:val="single" w:color="DDDDDD" w:sz="2"/>
            </w:tcBorders>
            <w:shd w:fill="F9F9F9" w:color="auto" w:val="clear"/>
            <w:tcMar>
              <w:top w:type="dxa" w:w="68"/>
              <w:left w:type="dxa" w:w="110"/>
              <w:bottom w:type="dxa" w:w="68"/>
              <w:right w:type="dxa" w:w="110"/>
            </w:tcMar>
          </w:tcPr>
          <w:p>
            <w:pPr>
              <w:spacing w:line="254" w:lineRule="auto"/>
            </w:pPr>
            <w:r>
              <w:rPr>
                <w:rFonts w:ascii="Arial" w:eastAsia="游ゴシック" w:hAnsi="Arial"/>
                <w:b w:val="false"/>
                <w:bCs w:val="false"/>
                <w:color w:val="333333"/>
                <w:sz w:val="18"/>
                <w:szCs w:val="18"/>
              </w:rPr>
              <w:t xml:space="preserve">4π 周期の境界（θ = nπ）で内部位相を確定した固有状態へ定め、位相のドリフトを防ぐ機構。</w:t>
            </w:r>
          </w:p>
        </w:tc>
      </w:tr>
    </w:tbl>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4" w:space="6"/>
      </w:pBdr>
      <w:tabs>
        <w:tab w:val="right" w:pos="9360"/>
      </w:tabs>
    </w:pPr>
    <w:r>
      <w:rPr>
        <w:rFonts w:ascii="Arial" w:eastAsia="游ゴシック" w:hAnsi="Arial"/>
        <w:color w:val="999999"/>
        <w:sz w:val="15"/>
        <w:szCs w:val="15"/>
      </w:rPr>
      <w:t xml:space="preserve">Paper #59 概説 · 0-Sphere Model シリーズ · DOI: 10.5281/zenodo.19932907</w:t>
    </w:r>
    <w:r>
      <w:rPr>
        <w:rFonts w:ascii="Arial" w:eastAsia="游ゴシック" w:hAnsi="Arial"/>
        <w:sz w:val="15"/>
        <w:szCs w:val="15"/>
      </w:rPr>
      <w:t xml:space="preserve">	</w:t>
    </w:r>
    <w:r>
      <w:rPr>
        <w:rFonts w:ascii="Arial" w:eastAsia="游ゴシック" w:hAnsi="Arial"/>
        <w:color w:val="999999"/>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游ゴシック" w:hAnsi="Arial"/>
        <w:color w:val="333333"/>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2026-05-22T17:55:54.065Z</dcterms:created>
  <dcterms:modified xsi:type="dcterms:W3CDTF">2026-05-22T17:55:54.081Z</dcterms:modified>
</cp:coreProperties>
</file>

<file path=docProps/custom.xml><?xml version="1.0" encoding="utf-8"?>
<Properties xmlns="http://schemas.openxmlformats.org/officeDocument/2006/custom-properties" xmlns:vt="http://schemas.openxmlformats.org/officeDocument/2006/docPropsVTypes"/>
</file>