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59F12" w14:textId="77777777" w:rsidR="00F676C4" w:rsidRPr="00F676C4" w:rsidRDefault="00F676C4" w:rsidP="00D42047">
      <w:pPr>
        <w:jc w:val="both"/>
        <w:rPr>
          <w:rFonts w:ascii="Times New Roman" w:hAnsi="Times New Roman" w:cs="Times New Roman"/>
          <w:sz w:val="28"/>
          <w:szCs w:val="28"/>
        </w:rPr>
      </w:pPr>
    </w:p>
    <w:p w14:paraId="4D8296B4" w14:textId="018A3FAD" w:rsidR="00F676C4" w:rsidRPr="00D42047" w:rsidRDefault="00F676C4" w:rsidP="00D42047">
      <w:pPr>
        <w:pStyle w:val="Title"/>
        <w:jc w:val="center"/>
        <w:rPr>
          <w:rFonts w:ascii="Times New Roman" w:hAnsi="Times New Roman" w:cs="Times New Roman"/>
          <w:sz w:val="44"/>
          <w:szCs w:val="44"/>
        </w:rPr>
      </w:pPr>
      <w:r w:rsidRPr="00D42047">
        <w:rPr>
          <w:rFonts w:ascii="Times New Roman" w:hAnsi="Times New Roman" w:cs="Times New Roman"/>
          <w:sz w:val="44"/>
          <w:szCs w:val="44"/>
        </w:rPr>
        <w:t>Standard Operating Procedure (SOP)</w:t>
      </w:r>
    </w:p>
    <w:tbl>
      <w:tblPr>
        <w:tblStyle w:val="TableGrid"/>
        <w:tblW w:w="8630" w:type="dxa"/>
        <w:tblLook w:val="04A0" w:firstRow="1" w:lastRow="0" w:firstColumn="1" w:lastColumn="0" w:noHBand="0" w:noVBand="1"/>
      </w:tblPr>
      <w:tblGrid>
        <w:gridCol w:w="4313"/>
        <w:gridCol w:w="4317"/>
      </w:tblGrid>
      <w:tr w:rsidR="00F676C4" w:rsidRPr="00F676C4" w14:paraId="170FEECD" w14:textId="77777777" w:rsidTr="00D42047">
        <w:tc>
          <w:tcPr>
            <w:tcW w:w="4313" w:type="dxa"/>
          </w:tcPr>
          <w:p w14:paraId="25DC5C79"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SOP Title</w:t>
            </w:r>
          </w:p>
        </w:tc>
        <w:tc>
          <w:tcPr>
            <w:tcW w:w="4317" w:type="dxa"/>
          </w:tcPr>
          <w:p w14:paraId="11D442B6"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Storage and Handling of Medicines</w:t>
            </w:r>
          </w:p>
        </w:tc>
      </w:tr>
      <w:tr w:rsidR="00F676C4" w:rsidRPr="00F676C4" w14:paraId="52FFB097" w14:textId="77777777" w:rsidTr="00D42047">
        <w:tc>
          <w:tcPr>
            <w:tcW w:w="4313" w:type="dxa"/>
          </w:tcPr>
          <w:p w14:paraId="5948E82B"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SOP Number:</w:t>
            </w:r>
          </w:p>
        </w:tc>
        <w:tc>
          <w:tcPr>
            <w:tcW w:w="4317" w:type="dxa"/>
          </w:tcPr>
          <w:p w14:paraId="5CFF8E37"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WH-001</w:t>
            </w:r>
          </w:p>
        </w:tc>
      </w:tr>
      <w:tr w:rsidR="00F676C4" w:rsidRPr="00F676C4" w14:paraId="4B154834" w14:textId="77777777" w:rsidTr="00D42047">
        <w:tc>
          <w:tcPr>
            <w:tcW w:w="4313" w:type="dxa"/>
          </w:tcPr>
          <w:p w14:paraId="36267E2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Effective Date:</w:t>
            </w:r>
          </w:p>
        </w:tc>
        <w:tc>
          <w:tcPr>
            <w:tcW w:w="4317" w:type="dxa"/>
          </w:tcPr>
          <w:p w14:paraId="7DC35EB5" w14:textId="77777777" w:rsidR="00F676C4" w:rsidRPr="00F676C4" w:rsidRDefault="00F676C4" w:rsidP="00D42047">
            <w:pPr>
              <w:jc w:val="both"/>
              <w:rPr>
                <w:rFonts w:ascii="Times New Roman" w:hAnsi="Times New Roman" w:cs="Times New Roman"/>
                <w:sz w:val="28"/>
                <w:szCs w:val="28"/>
              </w:rPr>
            </w:pPr>
          </w:p>
        </w:tc>
      </w:tr>
      <w:tr w:rsidR="00F676C4" w:rsidRPr="00F676C4" w14:paraId="6265D15B" w14:textId="77777777" w:rsidTr="00D42047">
        <w:tc>
          <w:tcPr>
            <w:tcW w:w="4313" w:type="dxa"/>
          </w:tcPr>
          <w:p w14:paraId="0A7FD5E0"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Version</w:t>
            </w:r>
          </w:p>
        </w:tc>
        <w:tc>
          <w:tcPr>
            <w:tcW w:w="4317" w:type="dxa"/>
          </w:tcPr>
          <w:p w14:paraId="653CA3D3"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Initial</w:t>
            </w:r>
          </w:p>
        </w:tc>
      </w:tr>
      <w:tr w:rsidR="00F676C4" w:rsidRPr="00F676C4" w14:paraId="12DBB4CA" w14:textId="77777777" w:rsidTr="00D42047">
        <w:tc>
          <w:tcPr>
            <w:tcW w:w="4313" w:type="dxa"/>
          </w:tcPr>
          <w:p w14:paraId="771D8BF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Location</w:t>
            </w:r>
          </w:p>
        </w:tc>
        <w:tc>
          <w:tcPr>
            <w:tcW w:w="4317" w:type="dxa"/>
          </w:tcPr>
          <w:p w14:paraId="43905362"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H&amp;C Store # 6</w:t>
            </w:r>
          </w:p>
        </w:tc>
      </w:tr>
    </w:tbl>
    <w:p w14:paraId="11B3693A" w14:textId="77777777" w:rsidR="00F676C4" w:rsidRPr="00F676C4" w:rsidRDefault="00F676C4" w:rsidP="00D42047">
      <w:pPr>
        <w:jc w:val="both"/>
        <w:rPr>
          <w:rFonts w:ascii="Times New Roman" w:hAnsi="Times New Roman" w:cs="Times New Roman"/>
          <w:sz w:val="28"/>
          <w:szCs w:val="28"/>
        </w:rPr>
      </w:pPr>
    </w:p>
    <w:p w14:paraId="2AD88042"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t>1. Purpose</w:t>
      </w:r>
    </w:p>
    <w:p w14:paraId="4EBD2191"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This SOP outlines the procedures for receiving, storing, handling, and dispatching pharmaceutical products in the medicine warehouse to ensure their quality, safety, and efficacy are maintained throughout the supply chain, in compliance with UAE MOHAP and Good Storage and Distribution Practices (GDP).</w:t>
      </w:r>
    </w:p>
    <w:p w14:paraId="48BD9D5A"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t>2. Scope</w:t>
      </w:r>
    </w:p>
    <w:p w14:paraId="2D4A7231"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This procedure applies to all warehouse personnel involved in the storage and distribution of medicines at the [Warehouse Name], UAE.</w:t>
      </w:r>
    </w:p>
    <w:p w14:paraId="1C0B9C3E"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t>3. Responsibilities</w:t>
      </w:r>
    </w:p>
    <w:p w14:paraId="0475B338"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Warehouse Manager: Ensures compliance with SOP, supervises all operations, and maintains regulatory standards.</w:t>
      </w:r>
    </w:p>
    <w:p w14:paraId="326923C4"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Warehouse Staff: Handles daily tasks in accordance with this SOP.</w:t>
      </w:r>
    </w:p>
    <w:p w14:paraId="068DE76E" w14:textId="77777777" w:rsid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Quality Assurance (QA): Conducts audits, monitors temperature, and handles complaints and non-conformances.</w:t>
      </w:r>
    </w:p>
    <w:p w14:paraId="06B4D978" w14:textId="77777777" w:rsidR="00D42047" w:rsidRDefault="00D42047" w:rsidP="00D42047">
      <w:pPr>
        <w:jc w:val="both"/>
        <w:rPr>
          <w:rFonts w:ascii="Times New Roman" w:hAnsi="Times New Roman" w:cs="Times New Roman"/>
          <w:sz w:val="28"/>
          <w:szCs w:val="28"/>
        </w:rPr>
      </w:pPr>
    </w:p>
    <w:p w14:paraId="31BBBFB7" w14:textId="77777777" w:rsidR="00D42047" w:rsidRDefault="00D42047" w:rsidP="00D42047">
      <w:pPr>
        <w:jc w:val="both"/>
        <w:rPr>
          <w:rFonts w:ascii="Times New Roman" w:hAnsi="Times New Roman" w:cs="Times New Roman"/>
          <w:sz w:val="28"/>
          <w:szCs w:val="28"/>
        </w:rPr>
      </w:pPr>
    </w:p>
    <w:p w14:paraId="180CB432" w14:textId="77777777" w:rsidR="00D42047" w:rsidRPr="00F676C4" w:rsidRDefault="00D42047" w:rsidP="00D42047">
      <w:pPr>
        <w:jc w:val="both"/>
        <w:rPr>
          <w:rFonts w:ascii="Times New Roman" w:hAnsi="Times New Roman" w:cs="Times New Roman"/>
          <w:sz w:val="28"/>
          <w:szCs w:val="28"/>
        </w:rPr>
      </w:pPr>
    </w:p>
    <w:p w14:paraId="0CF4168B"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lastRenderedPageBreak/>
        <w:t>4. Definitions</w:t>
      </w:r>
    </w:p>
    <w:p w14:paraId="0B119316"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GDP: Good Distribution Practice</w:t>
      </w:r>
    </w:p>
    <w:p w14:paraId="3C447C7F"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MOHAP: Ministry of Health and Prevention (UAE)</w:t>
      </w:r>
    </w:p>
    <w:p w14:paraId="2A68F53F"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FEFO: First Expired, First Out</w:t>
      </w:r>
    </w:p>
    <w:p w14:paraId="179534F3"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MSDS: Material Safety Data Sheet</w:t>
      </w:r>
    </w:p>
    <w:p w14:paraId="411D9527" w14:textId="2E4A73B6" w:rsidR="00F676C4" w:rsidRPr="00F676C4" w:rsidRDefault="00F676C4" w:rsidP="00D42047">
      <w:pPr>
        <w:jc w:val="both"/>
        <w:rPr>
          <w:rFonts w:ascii="Times New Roman" w:hAnsi="Times New Roman" w:cs="Times New Roman"/>
          <w:sz w:val="28"/>
          <w:szCs w:val="28"/>
        </w:rPr>
      </w:pPr>
      <w:r w:rsidRPr="00D42047">
        <w:rPr>
          <w:rFonts w:ascii="Times New Roman" w:hAnsi="Times New Roman" w:cs="Times New Roman"/>
          <w:b/>
          <w:bCs/>
          <w:sz w:val="28"/>
          <w:szCs w:val="28"/>
        </w:rPr>
        <w:t>5. Procedure</w:t>
      </w:r>
    </w:p>
    <w:p w14:paraId="26EFC898" w14:textId="77777777" w:rsidR="00F676C4" w:rsidRPr="00D42047" w:rsidRDefault="00F676C4" w:rsidP="00D42047">
      <w:pPr>
        <w:jc w:val="both"/>
        <w:rPr>
          <w:rFonts w:ascii="Times New Roman" w:hAnsi="Times New Roman" w:cs="Times New Roman"/>
          <w:sz w:val="28"/>
          <w:szCs w:val="28"/>
        </w:rPr>
      </w:pPr>
      <w:r w:rsidRPr="00D42047">
        <w:rPr>
          <w:rFonts w:ascii="Times New Roman" w:hAnsi="Times New Roman" w:cs="Times New Roman"/>
          <w:sz w:val="28"/>
          <w:szCs w:val="28"/>
        </w:rPr>
        <w:t>5.1 Receiving Medicines</w:t>
      </w:r>
    </w:p>
    <w:p w14:paraId="57EF3760"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Verify delivery against purchase order and invoice.</w:t>
      </w:r>
    </w:p>
    <w:p w14:paraId="0F2C34A5"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Check packaging integrity, labeling, and expiration dates.</w:t>
      </w:r>
    </w:p>
    <w:p w14:paraId="2DEC5E75"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Record batch numbers and expiry dates.</w:t>
      </w:r>
    </w:p>
    <w:p w14:paraId="5FF0710A"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Reject damaged or tampered products and notify QA.</w:t>
      </w:r>
    </w:p>
    <w:p w14:paraId="262D71D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5.2 Storage Conditions</w:t>
      </w:r>
    </w:p>
    <w:p w14:paraId="3875EDF9"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Store all medicines according to manufacturer requirements (e.g., 15–25°C or 2–8°C for cold chain).</w:t>
      </w:r>
    </w:p>
    <w:p w14:paraId="1F373643"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Use calibrated temperature and humidity monitoring devices.</w:t>
      </w:r>
    </w:p>
    <w:p w14:paraId="242962C9"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Maintain quarantine, approved, and rejected zones.</w:t>
      </w:r>
    </w:p>
    <w:p w14:paraId="62BF8692"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Segregate hazardous, controlled, or recalled items as per local law.</w:t>
      </w:r>
    </w:p>
    <w:p w14:paraId="689A68C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5.3 Temperature Monitoring</w:t>
      </w:r>
    </w:p>
    <w:p w14:paraId="06B3718B"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Daily temperature logs must be maintained.</w:t>
      </w:r>
    </w:p>
    <w:p w14:paraId="2D1798A5"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Alarm system should notify excursions beyond permissible ranges.</w:t>
      </w:r>
    </w:p>
    <w:p w14:paraId="7D47BFCA"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Cold storage must have backup generators and data loggers.</w:t>
      </w:r>
    </w:p>
    <w:p w14:paraId="44959E05"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5.4 Inventory Management</w:t>
      </w:r>
    </w:p>
    <w:p w14:paraId="3ADC068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Use a validated Warehouse Management System (WMS).</w:t>
      </w:r>
    </w:p>
    <w:p w14:paraId="25F415CF"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lastRenderedPageBreak/>
        <w:t>- Follow FEFO principle.</w:t>
      </w:r>
    </w:p>
    <w:p w14:paraId="1FF55DB9"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Conduct monthly cycle counts and annual physical inventory checks.</w:t>
      </w:r>
    </w:p>
    <w:p w14:paraId="23194C8A"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Record discrepancies and report to QA.</w:t>
      </w:r>
    </w:p>
    <w:p w14:paraId="1C9A04CE"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5.5 Handling and Dispatch</w:t>
      </w:r>
    </w:p>
    <w:p w14:paraId="5BB70EE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Pick and pack medicines as per order and regulatory requirements.</w:t>
      </w:r>
    </w:p>
    <w:p w14:paraId="18C48DD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xml:space="preserve">- Use suitable transport (e.g., refrigerated trucks for </w:t>
      </w:r>
      <w:proofErr w:type="gramStart"/>
      <w:r w:rsidRPr="00F676C4">
        <w:rPr>
          <w:rFonts w:ascii="Times New Roman" w:hAnsi="Times New Roman" w:cs="Times New Roman"/>
          <w:sz w:val="28"/>
          <w:szCs w:val="28"/>
        </w:rPr>
        <w:t>cold</w:t>
      </w:r>
      <w:proofErr w:type="gramEnd"/>
      <w:r w:rsidRPr="00F676C4">
        <w:rPr>
          <w:rFonts w:ascii="Times New Roman" w:hAnsi="Times New Roman" w:cs="Times New Roman"/>
          <w:sz w:val="28"/>
          <w:szCs w:val="28"/>
        </w:rPr>
        <w:t xml:space="preserve"> chain).</w:t>
      </w:r>
    </w:p>
    <w:p w14:paraId="4783231D"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Check vehicle condition and temperature control before dispatch.</w:t>
      </w:r>
    </w:p>
    <w:p w14:paraId="0CE6E27C"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Record all dispatches in the system for traceability.</w:t>
      </w:r>
    </w:p>
    <w:p w14:paraId="108B6573"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t>6. Health &amp; Safety</w:t>
      </w:r>
    </w:p>
    <w:p w14:paraId="4EBF9B4F"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All staff must use Personal Protective Equipment (PPE).</w:t>
      </w:r>
    </w:p>
    <w:p w14:paraId="27B5F7D3"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Follow MSDS for handling hazardous medicines.</w:t>
      </w:r>
    </w:p>
    <w:p w14:paraId="0AF11021"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Conduct regular safety training and fire drills.</w:t>
      </w:r>
    </w:p>
    <w:p w14:paraId="5D04777C"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t>7. Documentation &amp; Records</w:t>
      </w:r>
    </w:p>
    <w:p w14:paraId="0F68C46A"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Maintain records for at least 5 years or as per UAE law.</w:t>
      </w:r>
    </w:p>
    <w:p w14:paraId="4143CD5B"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Include temperature logs, delivery notes, batch records, and complaints.</w:t>
      </w:r>
    </w:p>
    <w:p w14:paraId="6129F466"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All documentation must be reviewed, signed, and stored securely.</w:t>
      </w:r>
    </w:p>
    <w:p w14:paraId="2191CCD1"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t>8. Audit &amp; Review</w:t>
      </w:r>
    </w:p>
    <w:p w14:paraId="716B26A5"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xml:space="preserve">- Internal audits </w:t>
      </w:r>
      <w:proofErr w:type="gramStart"/>
      <w:r w:rsidRPr="00F676C4">
        <w:rPr>
          <w:rFonts w:ascii="Times New Roman" w:hAnsi="Times New Roman" w:cs="Times New Roman"/>
          <w:sz w:val="28"/>
          <w:szCs w:val="28"/>
        </w:rPr>
        <w:t>shall</w:t>
      </w:r>
      <w:proofErr w:type="gramEnd"/>
      <w:r w:rsidRPr="00F676C4">
        <w:rPr>
          <w:rFonts w:ascii="Times New Roman" w:hAnsi="Times New Roman" w:cs="Times New Roman"/>
          <w:sz w:val="28"/>
          <w:szCs w:val="28"/>
        </w:rPr>
        <w:t xml:space="preserve"> be conducted quarterly.</w:t>
      </w:r>
    </w:p>
    <w:p w14:paraId="36B6750A"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External audits by authorities or clients must be facilitated.</w:t>
      </w:r>
    </w:p>
    <w:p w14:paraId="10B4C618"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This SOP should be reviewed annually or when regulatory changes occur.</w:t>
      </w:r>
    </w:p>
    <w:p w14:paraId="022048CF" w14:textId="77777777" w:rsidR="00F676C4" w:rsidRPr="00D42047" w:rsidRDefault="00F676C4" w:rsidP="00D42047">
      <w:pPr>
        <w:jc w:val="both"/>
        <w:rPr>
          <w:rFonts w:ascii="Times New Roman" w:hAnsi="Times New Roman" w:cs="Times New Roman"/>
          <w:b/>
          <w:bCs/>
          <w:sz w:val="28"/>
          <w:szCs w:val="28"/>
        </w:rPr>
      </w:pPr>
      <w:r w:rsidRPr="00D42047">
        <w:rPr>
          <w:rFonts w:ascii="Times New Roman" w:hAnsi="Times New Roman" w:cs="Times New Roman"/>
          <w:b/>
          <w:bCs/>
          <w:sz w:val="28"/>
          <w:szCs w:val="28"/>
        </w:rPr>
        <w:t>9. References</w:t>
      </w:r>
    </w:p>
    <w:p w14:paraId="2B95E89E"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UAE MOHAP Guidelines on Storage and Distribution of Medicines</w:t>
      </w:r>
    </w:p>
    <w:p w14:paraId="3109D0D1"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lastRenderedPageBreak/>
        <w:t>- WHO Good Distribution Practices</w:t>
      </w:r>
    </w:p>
    <w:p w14:paraId="609C9D1E"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 ISO 9001:2015 (if applicable)</w:t>
      </w:r>
    </w:p>
    <w:p w14:paraId="734474C4" w14:textId="77777777" w:rsidR="00F676C4" w:rsidRPr="00F676C4" w:rsidRDefault="00F676C4" w:rsidP="00D42047">
      <w:pPr>
        <w:jc w:val="both"/>
        <w:rPr>
          <w:rFonts w:ascii="Times New Roman" w:hAnsi="Times New Roman" w:cs="Times New Roman"/>
          <w:sz w:val="28"/>
          <w:szCs w:val="28"/>
        </w:rPr>
      </w:pPr>
    </w:p>
    <w:tbl>
      <w:tblPr>
        <w:tblStyle w:val="TableGrid"/>
        <w:tblpPr w:leftFromText="180" w:rightFromText="180" w:horzAnchor="margin" w:tblpY="504"/>
        <w:tblW w:w="8630" w:type="dxa"/>
        <w:tblLook w:val="04A0" w:firstRow="1" w:lastRow="0" w:firstColumn="1" w:lastColumn="0" w:noHBand="0" w:noVBand="1"/>
      </w:tblPr>
      <w:tblGrid>
        <w:gridCol w:w="4313"/>
        <w:gridCol w:w="4317"/>
      </w:tblGrid>
      <w:tr w:rsidR="00F676C4" w:rsidRPr="00F676C4" w14:paraId="335D5FCC" w14:textId="77777777" w:rsidTr="00D42047">
        <w:tc>
          <w:tcPr>
            <w:tcW w:w="4313" w:type="dxa"/>
          </w:tcPr>
          <w:p w14:paraId="2440807C"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Prepared by</w:t>
            </w:r>
          </w:p>
        </w:tc>
        <w:tc>
          <w:tcPr>
            <w:tcW w:w="4317" w:type="dxa"/>
          </w:tcPr>
          <w:p w14:paraId="598DE37F" w14:textId="77777777" w:rsidR="00F676C4" w:rsidRPr="00F676C4" w:rsidRDefault="00F676C4" w:rsidP="00D42047">
            <w:pPr>
              <w:jc w:val="both"/>
              <w:rPr>
                <w:rFonts w:ascii="Times New Roman" w:hAnsi="Times New Roman" w:cs="Times New Roman"/>
                <w:sz w:val="28"/>
                <w:szCs w:val="28"/>
              </w:rPr>
            </w:pPr>
            <w:r w:rsidRPr="00F676C4">
              <w:rPr>
                <w:rFonts w:ascii="Times New Roman" w:hAnsi="Times New Roman" w:cs="Times New Roman"/>
                <w:sz w:val="28"/>
                <w:szCs w:val="28"/>
              </w:rPr>
              <w:t>Approved by</w:t>
            </w:r>
          </w:p>
        </w:tc>
      </w:tr>
      <w:tr w:rsidR="00F676C4" w:rsidRPr="00F676C4" w14:paraId="7EB1CAEE" w14:textId="77777777" w:rsidTr="00D42047">
        <w:tc>
          <w:tcPr>
            <w:tcW w:w="4313" w:type="dxa"/>
          </w:tcPr>
          <w:p w14:paraId="2030D4BA" w14:textId="77777777" w:rsidR="00F676C4" w:rsidRPr="00F676C4" w:rsidRDefault="00F676C4" w:rsidP="00D42047">
            <w:pPr>
              <w:jc w:val="both"/>
              <w:rPr>
                <w:rFonts w:ascii="Times New Roman" w:hAnsi="Times New Roman" w:cs="Times New Roman"/>
                <w:sz w:val="28"/>
                <w:szCs w:val="28"/>
              </w:rPr>
            </w:pPr>
          </w:p>
        </w:tc>
        <w:tc>
          <w:tcPr>
            <w:tcW w:w="4317" w:type="dxa"/>
          </w:tcPr>
          <w:p w14:paraId="0C5D9F37" w14:textId="77777777" w:rsidR="00F676C4" w:rsidRPr="00F676C4" w:rsidRDefault="00F676C4" w:rsidP="00D42047">
            <w:pPr>
              <w:jc w:val="both"/>
              <w:rPr>
                <w:rFonts w:ascii="Times New Roman" w:hAnsi="Times New Roman" w:cs="Times New Roman"/>
                <w:sz w:val="28"/>
                <w:szCs w:val="28"/>
              </w:rPr>
            </w:pPr>
          </w:p>
        </w:tc>
      </w:tr>
    </w:tbl>
    <w:p w14:paraId="05C31762" w14:textId="77777777" w:rsidR="00F676C4" w:rsidRPr="00F676C4" w:rsidRDefault="00F676C4" w:rsidP="00D42047">
      <w:pPr>
        <w:jc w:val="both"/>
        <w:rPr>
          <w:rFonts w:ascii="Times New Roman" w:hAnsi="Times New Roman" w:cs="Times New Roman"/>
          <w:sz w:val="28"/>
          <w:szCs w:val="28"/>
        </w:rPr>
      </w:pPr>
    </w:p>
    <w:p w14:paraId="35F28EFE" w14:textId="77777777" w:rsidR="00F30EB6" w:rsidRPr="00F30EB6" w:rsidRDefault="00F30EB6" w:rsidP="00D42047">
      <w:pPr>
        <w:jc w:val="both"/>
        <w:rPr>
          <w:rFonts w:ascii="Times New Roman" w:hAnsi="Times New Roman" w:cs="Times New Roman"/>
          <w:sz w:val="28"/>
          <w:szCs w:val="28"/>
        </w:rPr>
      </w:pPr>
    </w:p>
    <w:sectPr w:rsidR="00F30EB6" w:rsidRPr="00F30EB6" w:rsidSect="00F676C4">
      <w:headerReference w:type="default" r:id="rId8"/>
      <w:footerReference w:type="default" r:id="rId9"/>
      <w:pgSz w:w="12240" w:h="15840"/>
      <w:pgMar w:top="1440" w:right="1800" w:bottom="1440" w:left="1800" w:header="11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6EAEA" w14:textId="77777777" w:rsidR="00C01833" w:rsidRDefault="00C01833" w:rsidP="00246CEF">
      <w:pPr>
        <w:spacing w:after="0" w:line="240" w:lineRule="auto"/>
      </w:pPr>
      <w:r>
        <w:separator/>
      </w:r>
    </w:p>
  </w:endnote>
  <w:endnote w:type="continuationSeparator" w:id="0">
    <w:p w14:paraId="50661FF4" w14:textId="77777777" w:rsidR="00C01833" w:rsidRDefault="00C01833" w:rsidP="0024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5B39" w14:textId="66FB81BF" w:rsidR="00F676C4" w:rsidRDefault="00F676C4">
    <w:pPr>
      <w:pStyle w:val="Footer"/>
    </w:pPr>
    <w:r>
      <w:rPr>
        <w:noProof/>
        <w:color w:val="4F81BD" w:themeColor="accent1"/>
      </w:rPr>
      <mc:AlternateContent>
        <mc:Choice Requires="wps">
          <w:drawing>
            <wp:anchor distT="0" distB="0" distL="114300" distR="114300" simplePos="0" relativeHeight="251672064" behindDoc="0" locked="0" layoutInCell="1" allowOverlap="1" wp14:anchorId="59AD60A4" wp14:editId="6B614EC3">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A782F1" id="Rectangle 247" o:spid="_x0000_s1026" style="position:absolute;margin-left:0;margin-top:0;width:579.9pt;height:750.3pt;z-index:2516720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CB155" w14:textId="77777777" w:rsidR="00C01833" w:rsidRDefault="00C01833" w:rsidP="00246CEF">
      <w:pPr>
        <w:spacing w:after="0" w:line="240" w:lineRule="auto"/>
      </w:pPr>
      <w:r>
        <w:separator/>
      </w:r>
    </w:p>
  </w:footnote>
  <w:footnote w:type="continuationSeparator" w:id="0">
    <w:p w14:paraId="79DB5AE2" w14:textId="77777777" w:rsidR="00C01833" w:rsidRDefault="00C01833" w:rsidP="00246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AFC5" w14:textId="37BD8DF2" w:rsidR="00246CEF" w:rsidRDefault="00F676C4">
    <w:pPr>
      <w:pStyle w:val="Header"/>
    </w:pPr>
    <w:r>
      <w:rPr>
        <w:noProof/>
      </w:rPr>
      <w:drawing>
        <wp:anchor distT="0" distB="0" distL="114300" distR="114300" simplePos="0" relativeHeight="251670016" behindDoc="0" locked="0" layoutInCell="1" allowOverlap="1" wp14:anchorId="1F9A87E8" wp14:editId="161FB5E1">
          <wp:simplePos x="0" y="0"/>
          <wp:positionH relativeFrom="column">
            <wp:posOffset>2545080</wp:posOffset>
          </wp:positionH>
          <wp:positionV relativeFrom="paragraph">
            <wp:posOffset>-456565</wp:posOffset>
          </wp:positionV>
          <wp:extent cx="1150620" cy="813853"/>
          <wp:effectExtent l="0" t="0" r="0" b="0"/>
          <wp:wrapNone/>
          <wp:docPr id="334682850" name="Picture 6" descr="A group of purpl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82850" name="Picture 6" descr="A group of purple circles&#10;&#10;AI-generated content may be incorrect."/>
                  <pic:cNvPicPr/>
                </pic:nvPicPr>
                <pic:blipFill>
                  <a:blip r:embed="rId1"/>
                  <a:stretch>
                    <a:fillRect/>
                  </a:stretch>
                </pic:blipFill>
                <pic:spPr>
                  <a:xfrm>
                    <a:off x="0" y="0"/>
                    <a:ext cx="1150620" cy="81385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656" behindDoc="0" locked="0" layoutInCell="1" allowOverlap="1" wp14:anchorId="6DDA486A" wp14:editId="18E25F61">
          <wp:simplePos x="0" y="0"/>
          <wp:positionH relativeFrom="column">
            <wp:posOffset>4602480</wp:posOffset>
          </wp:positionH>
          <wp:positionV relativeFrom="paragraph">
            <wp:posOffset>-434340</wp:posOffset>
          </wp:positionV>
          <wp:extent cx="1344930" cy="748773"/>
          <wp:effectExtent l="0" t="0" r="0" b="0"/>
          <wp:wrapNone/>
          <wp:docPr id="1575470083" name="Picture 4"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0083" name="Picture 4" descr="A black and white text&#10;&#10;AI-generated content may be incorrect."/>
                  <pic:cNvPicPr/>
                </pic:nvPicPr>
                <pic:blipFill>
                  <a:blip r:embed="rId2"/>
                  <a:stretch>
                    <a:fillRect/>
                  </a:stretch>
                </pic:blipFill>
                <pic:spPr>
                  <a:xfrm>
                    <a:off x="0" y="0"/>
                    <a:ext cx="1344930" cy="7487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968" behindDoc="0" locked="0" layoutInCell="1" allowOverlap="1" wp14:anchorId="57BE648B" wp14:editId="2A47BFB2">
          <wp:simplePos x="0" y="0"/>
          <wp:positionH relativeFrom="margin">
            <wp:align>left</wp:align>
          </wp:positionH>
          <wp:positionV relativeFrom="paragraph">
            <wp:posOffset>-411480</wp:posOffset>
          </wp:positionV>
          <wp:extent cx="1661160" cy="784150"/>
          <wp:effectExtent l="0" t="0" r="0" b="0"/>
          <wp:wrapNone/>
          <wp:docPr id="1907928404" name="Picture 5"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8404" name="Picture 5" descr="A black and white text&#10;&#10;AI-generated content may be incorrect."/>
                  <pic:cNvPicPr/>
                </pic:nvPicPr>
                <pic:blipFill>
                  <a:blip r:embed="rId3"/>
                  <a:stretch>
                    <a:fillRect/>
                  </a:stretch>
                </pic:blipFill>
                <pic:spPr>
                  <a:xfrm>
                    <a:off x="0" y="0"/>
                    <a:ext cx="1661160" cy="784150"/>
                  </a:xfrm>
                  <a:prstGeom prst="rect">
                    <a:avLst/>
                  </a:prstGeom>
                </pic:spPr>
              </pic:pic>
            </a:graphicData>
          </a:graphic>
          <wp14:sizeRelH relativeFrom="margin">
            <wp14:pctWidth>0</wp14:pctWidth>
          </wp14:sizeRelH>
          <wp14:sizeRelV relativeFrom="margin">
            <wp14:pctHeight>0</wp14:pctHeight>
          </wp14:sizeRelV>
        </wp:anchor>
      </w:drawing>
    </w:r>
  </w:p>
  <w:p w14:paraId="3611ED15" w14:textId="77777777" w:rsidR="00246CEF" w:rsidRDefault="00246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506041">
    <w:abstractNumId w:val="8"/>
  </w:num>
  <w:num w:numId="2" w16cid:durableId="1700084991">
    <w:abstractNumId w:val="6"/>
  </w:num>
  <w:num w:numId="3" w16cid:durableId="2108579554">
    <w:abstractNumId w:val="5"/>
  </w:num>
  <w:num w:numId="4" w16cid:durableId="1169832996">
    <w:abstractNumId w:val="4"/>
  </w:num>
  <w:num w:numId="5" w16cid:durableId="1621379562">
    <w:abstractNumId w:val="7"/>
  </w:num>
  <w:num w:numId="6" w16cid:durableId="1486312743">
    <w:abstractNumId w:val="3"/>
  </w:num>
  <w:num w:numId="7" w16cid:durableId="147210113">
    <w:abstractNumId w:val="2"/>
  </w:num>
  <w:num w:numId="8" w16cid:durableId="1880700003">
    <w:abstractNumId w:val="1"/>
  </w:num>
  <w:num w:numId="9" w16cid:durableId="151703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57"/>
    <w:rsid w:val="00034616"/>
    <w:rsid w:val="0006063C"/>
    <w:rsid w:val="0015074B"/>
    <w:rsid w:val="00246CEF"/>
    <w:rsid w:val="0029639D"/>
    <w:rsid w:val="00326F90"/>
    <w:rsid w:val="00AA1D8D"/>
    <w:rsid w:val="00B47730"/>
    <w:rsid w:val="00C01833"/>
    <w:rsid w:val="00CB0664"/>
    <w:rsid w:val="00D42047"/>
    <w:rsid w:val="00F30EB6"/>
    <w:rsid w:val="00F40FB7"/>
    <w:rsid w:val="00F67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6BE447"/>
  <w14:defaultImageDpi w14:val="300"/>
  <w15:docId w15:val="{27851A7A-F05F-4E1E-B51B-D44B00310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 Adil Ali Khan</cp:lastModifiedBy>
  <cp:revision>3</cp:revision>
  <dcterms:created xsi:type="dcterms:W3CDTF">2025-05-04T10:56:00Z</dcterms:created>
  <dcterms:modified xsi:type="dcterms:W3CDTF">2025-05-04T11:04:00Z</dcterms:modified>
  <cp:category/>
</cp:coreProperties>
</file>