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20"/>
      </w:pPr>
      <w:r>
        <w:rPr>
          <w:rFonts w:ascii="Arial" w:hAnsi="Arial"/>
          <w:b/>
          <w:color w:val="17324D"/>
          <w:sz w:val="50"/>
        </w:rPr>
        <w:t>Sponsor Technology Explanation</w:t>
      </w:r>
    </w:p>
    <w:p>
      <w:pPr>
        <w:spacing w:after="200"/>
      </w:pPr>
      <w:r>
        <w:rPr>
          <w:rFonts w:ascii="Arial" w:hAnsi="Arial"/>
          <w:color w:val="147D78"/>
          <w:sz w:val="22"/>
        </w:rPr>
        <w:t>Handoff Guardian AI  Repository implementation review</w:t>
      </w:r>
    </w:p>
    <w:p>
      <w:pPr>
        <w:spacing w:after="200"/>
      </w:pPr>
      <w:r>
        <w:rPr>
          <w:b/>
        </w:rPr>
        <w:t xml:space="preserve">Purpose. </w:t>
      </w:r>
      <w:r>
        <w:t>This document explains where Zetaris, Meterless, and NVIDIA appear in the checked-in project. It separates working code paths from requirements that remain unimplemented. The review is based on commit 0d53e8de2e07f62db710ff1f115dea7625ff5ebd on branch development. No live sponsor service call or current test run is claimed.</w:t>
      </w:r>
    </w:p>
    <w:p>
      <w:pPr>
        <w:pStyle w:val="Heading1"/>
        <w:keepNext/>
      </w:pPr>
      <w:r>
        <w:t>Implementation status</w:t>
      </w:r>
    </w:p>
    <w:tbl>
      <w:tblPr>
        <w:tblW w:type="auto" w:w="0"/>
        <w:jc w:val="center"/>
        <w:tblLayout w:type="fixed"/>
        <w:tblLook w:firstColumn="1" w:firstRow="1" w:lastColumn="0" w:lastRow="0" w:noHBand="0" w:noVBand="1" w:val="04A0"/>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Pr>
      <w:tblGrid>
        <w:gridCol w:w="2232"/>
        <w:gridCol w:w="7560"/>
      </w:tblGrid>
      <w:tr>
        <w:trPr>
          <w:tblHeader w:val="true"/>
          <w:cantSplit/>
        </w:trPr>
        <w:tc>
          <w:tcPr>
            <w:tcW w:type="dxa" w:w="4939"/>
            <w:shd w:fill="17324D"/>
            <w:tcMar>
              <w:top w:w="110" w:type="dxa"/>
              <w:start w:w="140" w:type="dxa"/>
              <w:bottom w:w="110" w:type="dxa"/>
              <w:end w:w="140" w:type="dxa"/>
            </w:tcMar>
            <w:vAlign w:val="center"/>
          </w:tcPr>
          <w:p>
            <w:pPr>
              <w:spacing w:after="20" w:line="259" w:lineRule="auto"/>
            </w:pPr>
            <w:r/>
            <w:r>
              <w:rPr>
                <w:rFonts w:ascii="Arial" w:hAnsi="Arial"/>
                <w:b/>
                <w:color w:val="FFFFFF"/>
                <w:sz w:val="19"/>
              </w:rPr>
              <w:t>Technology</w:t>
            </w:r>
          </w:p>
        </w:tc>
        <w:tc>
          <w:tcPr>
            <w:tcW w:type="dxa" w:w="4939"/>
            <w:shd w:fill="17324D"/>
            <w:tcMar>
              <w:top w:w="110" w:type="dxa"/>
              <w:start w:w="140" w:type="dxa"/>
              <w:bottom w:w="110" w:type="dxa"/>
              <w:end w:w="140" w:type="dxa"/>
            </w:tcMar>
            <w:vAlign w:val="center"/>
          </w:tcPr>
          <w:p>
            <w:pPr>
              <w:spacing w:after="20" w:line="259" w:lineRule="auto"/>
            </w:pPr>
            <w:r/>
            <w:r>
              <w:rPr>
                <w:rFonts w:ascii="Arial" w:hAnsi="Arial"/>
                <w:b/>
                <w:color w:val="FFFFFF"/>
                <w:sz w:val="19"/>
              </w:rPr>
              <w:t>What the repository demonstrates</w:t>
            </w:r>
          </w:p>
        </w:tc>
      </w:tr>
      <w:tr>
        <w:trPr>
          <w:cantSplit/>
        </w:trPr>
        <w:tc>
          <w:tcPr>
            <w:tcW w:type="dxa" w:w="2232"/>
            <w:tcMar>
              <w:top w:w="110" w:type="dxa"/>
              <w:start w:w="140" w:type="dxa"/>
              <w:bottom w:w="110" w:type="dxa"/>
              <w:end w:w="140" w:type="dxa"/>
            </w:tcMar>
            <w:shd w:fill="EAF2F5"/>
            <w:vAlign w:val="center"/>
          </w:tcPr>
          <w:p>
            <w:pPr>
              <w:spacing w:after="20" w:line="259" w:lineRule="auto"/>
            </w:pPr>
            <w:r/>
            <w:r>
              <w:rPr>
                <w:rFonts w:ascii="Arial" w:hAnsi="Arial"/>
                <w:b/>
                <w:color w:val="17324D"/>
                <w:sz w:val="18"/>
              </w:rPr>
              <w:t>Zetaris</w:t>
            </w:r>
          </w:p>
        </w:tc>
        <w:tc>
          <w:tcPr>
            <w:tcW w:type="dxa" w:w="7560"/>
            <w:tcMar>
              <w:top w:w="110" w:type="dxa"/>
              <w:start w:w="140" w:type="dxa"/>
              <w:bottom w:w="110" w:type="dxa"/>
              <w:end w:w="140" w:type="dxa"/>
            </w:tcMar>
            <w:vAlign w:val="center"/>
          </w:tcPr>
          <w:p>
            <w:pPr>
              <w:spacing w:after="20" w:line="259" w:lineRule="auto"/>
            </w:pPr>
            <w:r/>
            <w:r>
              <w:rPr>
                <w:rFonts w:ascii="Arial" w:hAnsi="Arial"/>
                <w:b w:val="0"/>
                <w:color w:val="202A35"/>
                <w:sz w:val="18"/>
              </w:rPr>
              <w:t>No Zetaris client or live query is wired into the application. The default provider reads fictional local fixtures.</w:t>
            </w:r>
          </w:p>
        </w:tc>
      </w:tr>
      <w:tr>
        <w:trPr>
          <w:cantSplit/>
        </w:trPr>
        <w:tc>
          <w:tcPr>
            <w:tcW w:type="dxa" w:w="2232"/>
            <w:tcMar>
              <w:top w:w="110" w:type="dxa"/>
              <w:start w:w="140" w:type="dxa"/>
              <w:bottom w:w="110" w:type="dxa"/>
              <w:end w:w="140" w:type="dxa"/>
            </w:tcMar>
            <w:shd w:fill="EAF2F5"/>
            <w:vAlign w:val="center"/>
          </w:tcPr>
          <w:p>
            <w:pPr>
              <w:spacing w:after="20" w:line="259" w:lineRule="auto"/>
            </w:pPr>
            <w:r/>
            <w:r>
              <w:rPr>
                <w:rFonts w:ascii="Arial" w:hAnsi="Arial"/>
                <w:b/>
                <w:color w:val="17324D"/>
                <w:sz w:val="18"/>
              </w:rPr>
              <w:t>Meterless Engine</w:t>
            </w:r>
          </w:p>
        </w:tc>
        <w:tc>
          <w:tcPr>
            <w:tcW w:type="dxa" w:w="7560"/>
            <w:tcMar>
              <w:top w:w="110" w:type="dxa"/>
              <w:start w:w="140" w:type="dxa"/>
              <w:bottom w:w="110" w:type="dxa"/>
              <w:end w:w="140" w:type="dxa"/>
            </w:tcMar>
            <w:vAlign w:val="center"/>
          </w:tcPr>
          <w:p>
            <w:pPr>
              <w:spacing w:after="20" w:line="259" w:lineRule="auto"/>
            </w:pPr>
            <w:r/>
            <w:r>
              <w:rPr>
                <w:rFonts w:ascii="Arial" w:hAnsi="Arial"/>
                <w:b w:val="0"/>
                <w:color w:val="202A35"/>
                <w:sz w:val="18"/>
              </w:rPr>
              <w:t>No H-MEM, Markovian, World Model, or Scout Intent implementation or conformance test is present.</w:t>
            </w:r>
          </w:p>
        </w:tc>
      </w:tr>
      <w:tr>
        <w:trPr>
          <w:cantSplit/>
        </w:trPr>
        <w:tc>
          <w:tcPr>
            <w:tcW w:type="dxa" w:w="2232"/>
            <w:tcMar>
              <w:top w:w="110" w:type="dxa"/>
              <w:start w:w="140" w:type="dxa"/>
              <w:bottom w:w="110" w:type="dxa"/>
              <w:end w:w="140" w:type="dxa"/>
            </w:tcMar>
            <w:shd w:fill="EAF2F5"/>
            <w:vAlign w:val="center"/>
          </w:tcPr>
          <w:p>
            <w:pPr>
              <w:spacing w:after="20" w:line="259" w:lineRule="auto"/>
            </w:pPr>
            <w:r/>
            <w:r>
              <w:rPr>
                <w:rFonts w:ascii="Arial" w:hAnsi="Arial"/>
                <w:b/>
                <w:color w:val="17324D"/>
                <w:sz w:val="18"/>
              </w:rPr>
              <w:t>Meterless Nightshift</w:t>
            </w:r>
          </w:p>
        </w:tc>
        <w:tc>
          <w:tcPr>
            <w:tcW w:type="dxa" w:w="7560"/>
            <w:tcMar>
              <w:top w:w="110" w:type="dxa"/>
              <w:start w:w="140" w:type="dxa"/>
              <w:bottom w:w="110" w:type="dxa"/>
              <w:end w:w="140" w:type="dxa"/>
            </w:tcMar>
            <w:vAlign w:val="center"/>
          </w:tcPr>
          <w:p>
            <w:pPr>
              <w:spacing w:after="20" w:line="259" w:lineRule="auto"/>
            </w:pPr>
            <w:r/>
            <w:r>
              <w:rPr>
                <w:rFonts w:ascii="Arial" w:hAnsi="Arial"/>
                <w:b w:val="0"/>
                <w:color w:val="202A35"/>
                <w:sz w:val="18"/>
              </w:rPr>
              <w:t>An optional report summarizer exists, but the default app disables it. Nightshift is not the primary AI provider.</w:t>
            </w:r>
          </w:p>
        </w:tc>
      </w:tr>
      <w:tr>
        <w:trPr>
          <w:cantSplit/>
        </w:trPr>
        <w:tc>
          <w:tcPr>
            <w:tcW w:type="dxa" w:w="2232"/>
            <w:tcMar>
              <w:top w:w="110" w:type="dxa"/>
              <w:start w:w="140" w:type="dxa"/>
              <w:bottom w:w="110" w:type="dxa"/>
              <w:end w:w="140" w:type="dxa"/>
            </w:tcMar>
            <w:shd w:fill="EAF2F5"/>
            <w:vAlign w:val="center"/>
          </w:tcPr>
          <w:p>
            <w:pPr>
              <w:spacing w:after="20" w:line="259" w:lineRule="auto"/>
            </w:pPr>
            <w:r/>
            <w:r>
              <w:rPr>
                <w:rFonts w:ascii="Arial" w:hAnsi="Arial"/>
                <w:b/>
                <w:color w:val="17324D"/>
                <w:sz w:val="18"/>
              </w:rPr>
              <w:t>NVIDIA Nemotron</w:t>
            </w:r>
          </w:p>
        </w:tc>
        <w:tc>
          <w:tcPr>
            <w:tcW w:type="dxa" w:w="7560"/>
            <w:tcMar>
              <w:top w:w="110" w:type="dxa"/>
              <w:start w:w="140" w:type="dxa"/>
              <w:bottom w:w="110" w:type="dxa"/>
              <w:end w:w="140" w:type="dxa"/>
            </w:tcMar>
            <w:vAlign w:val="center"/>
          </w:tcPr>
          <w:p>
            <w:pPr>
              <w:spacing w:after="20" w:line="259" w:lineRule="auto"/>
            </w:pPr>
            <w:r/>
            <w:r>
              <w:rPr>
                <w:rFonts w:ascii="Arial" w:hAnsi="Arial"/>
                <w:b w:val="0"/>
                <w:color w:val="202A35"/>
                <w:sz w:val="18"/>
              </w:rPr>
              <w:t>A configurable OpenAI-compatible Nemotron client can power claim extraction directly. Live use was not verified, and the request does not go through Nightshift.</w:t>
            </w:r>
          </w:p>
        </w:tc>
      </w:tr>
    </w:tbl>
    <w:p>
      <w:pPr>
        <w:spacing w:before="120" w:after="80"/>
      </w:pPr>
      <w:r>
        <w:rPr>
          <w:b/>
        </w:rPr>
        <w:t xml:space="preserve">Submission implication. </w:t>
      </w:r>
      <w:r>
        <w:t>The current repository does not demonstrate the required Zetaris data layer, a working Meterless Engine, or Nightshift as the primary AI provider. These gaps should remain explicit in any submission description.</w:t>
      </w:r>
    </w:p>
    <w:p>
      <w:pPr>
        <w:pStyle w:val="Heading1"/>
        <w:keepNext/>
      </w:pPr>
      <w:r>
        <w:t>Zetaris</w:t>
      </w:r>
    </w:p>
    <w:p>
      <w:r>
        <w:t>The evidence layer has a provider interface, and the application composition root selects MockEvidenceProvider. The provider loads fictional JSON records from the repository. Although a source file is named zetaris_provider.py, its contents implement fixture loading. It does not authenticate to Zetaris, issue a query, or translate live Zetaris results.</w:t>
      </w:r>
    </w:p>
    <w:p>
      <w:r>
        <w:t>The default evidence agent also returns an empty source_statuses list. The evaluator therefore cannot treat the fixture records as proof that mandatory CRM or engineering checks completed. A future Zetaris adapter would need to query an approved workspace, map source records into the evidence contract, preserve provenance, and report each source outcome explicitly.</w:t>
      </w:r>
    </w:p>
    <w:p>
      <w:pPr>
        <w:pStyle w:val="Heading1"/>
        <w:keepNext/>
      </w:pPr>
      <w:r>
        <w:t>Meterless Engine and Nightshift</w:t>
      </w:r>
    </w:p>
    <w:p>
      <w:r>
        <w:t>The required Meterless Engines named in the submission criteria are H-MEM, Markovian, World Model, and Scout Intent. The repository contains no implementation of these engines, no product feature using one, and no corresponding conformance test. The optional Nightshift summary request does not count as a Meterless Engine implementation.</w:t>
      </w:r>
    </w:p>
    <w:p>
      <w:r>
        <w:t>NightshiftLLMProvider sends a summary request to a configurable OpenAI-compatible chat-completions endpoint. It reads METERLESS_BASE_URL, METERLESS_API_KEY, and LLM_MODEL and sends Meterless app and scope headers. ReportGenerator can use this provider, but build_orchestrator constructs it with enable_llm=False. The default application instead uses a deterministic report fallback. Nightshift is therefore not the primary AI provider in the application.</w:t>
      </w:r>
    </w:p>
    <w:p>
      <w:r>
        <w:t>To support a stronger claim, the team would need to route the primary AI feature through Nightshift, connect a selected Meterless Engine to a working user-facing feature, and retain a repeatable passing engine conformance result plus a redacted request and response trace.</w:t>
      </w:r>
    </w:p>
    <w:p>
      <w:pPr>
        <w:pStyle w:val="Heading1"/>
        <w:keepNext/>
      </w:pPr>
      <w:r>
        <w:t>NVIDIA Nemotron</w:t>
      </w:r>
    </w:p>
    <w:p>
      <w:r>
        <w:t>NemotronClient reads NVIDIA_API_KEY, NVIDIA_BASE_URL, and NEMOTRON_MODEL. It uses an OpenAI-compatible chat-completions client with a 30-second timeout and no SDK retries. ClaimExtractor uses this client when no ModelClient is injected. The model proposes structured claims from the handoff text. The extractor then checks the response schema, allowed policy category, duplicate claims, and whether each value appears in the source text.</w:t>
      </w:r>
    </w:p>
    <w:p>
      <w:r>
        <w:t>This is a direct NVIDIA endpoint path. The current application does not route the claim-extraction request through Meterless Nightshift. No live request, returned model trace, or model-specific production output was verified during this review. Environment variables in the local .env file should remain private, and NVIDIA credentials must not be included in this document or the repository. The hackathon instructions place the NVIDIA API key in Nightshift Providers, while the current extractor reads it from NVIDIA_API_KEY in the application environment. That direct configuration needs to change before claiming the hackathon routing requirement is satisfied.</w:t>
      </w:r>
    </w:p>
    <w:p>
      <w:pPr>
        <w:pStyle w:val="Heading1"/>
        <w:keepNext/>
      </w:pPr>
      <w:r>
        <w:t>Distinctive design choice</w:t>
      </w:r>
    </w:p>
    <w:p>
      <w:r>
        <w:t>Handoff Guardian separates candidate claim extraction from clearance. The Orchestrator links claims to evidence, while deterministic evaluator code applies the provisional policy and controls the disposition. Missing evidence, unknown source status, conflicts, malformed outputs, and component failures lead to escalation. The reporter presents findings but does not change the authoritative decision.</w:t>
      </w:r>
    </w:p>
    <w:p>
      <w:r>
        <w:t>This separation is the clearest implemented design choice in the code. It is a product architecture distinction, not a unique use of sponsor technology. The default fixtures are fictional, and policy.yaml is marked provisional, so the current implementation is not evidence for live customer use.</w:t>
      </w:r>
    </w:p>
    <w:p>
      <w:pPr>
        <w:pStyle w:val="Heading1"/>
        <w:keepNext/>
      </w:pPr>
      <w:r>
        <w:t>Evidence and limits</w:t>
      </w:r>
    </w:p>
    <w:p>
      <w:r>
        <w:t>The repository includes deterministic tests for the evidence provider, claim validation, orchestration, reporting, application integration, and UI. Those tests use fixed clients or local fixtures where appropriate. Their presence documents intended offline behavior but does not establish that a live Zetaris connection, Nightshift request, Meterless Engine, or NVIDIA endpoint works. This document does not claim that the test suite was run.</w:t>
      </w:r>
    </w:p>
    <w:p>
      <w:r>
        <w:t>Before describing sponsor integrations as complete, collect a redacted Zetaris query trace, an Engine-backed feature with a passing conformance test, a primary Nightshift request/response showing the selected model, and a live Nemotron-through-Nightshift trace if pursuing the NVIDIA award requirement.</w:t>
      </w:r>
    </w:p>
    <w:p>
      <w:pPr>
        <w:pStyle w:val="Heading1"/>
        <w:keepNext/>
      </w:pPr>
      <w:r>
        <w:t>Repository files reviewed</w:t>
      </w:r>
    </w:p>
    <w:p>
      <w:pPr>
        <w:pStyle w:val="ListBullet"/>
        <w:spacing w:after="40"/>
      </w:pPr>
      <w:r>
        <w:t>src/controller/application.py and src/controller/orchestrator.py</w:t>
      </w:r>
    </w:p>
    <w:p>
      <w:pPr>
        <w:pStyle w:val="ListBullet"/>
        <w:spacing w:after="40"/>
      </w:pPr>
      <w:r>
        <w:t>src/evidence/agent.py and src/evidence/providers/mock_provider.py</w:t>
      </w:r>
    </w:p>
    <w:p>
      <w:pPr>
        <w:pStyle w:val="ListBullet"/>
        <w:spacing w:after="40"/>
      </w:pPr>
      <w:r>
        <w:t>src/evidence/providers/zetaris_provider.py</w:t>
      </w:r>
    </w:p>
    <w:p>
      <w:pPr>
        <w:pStyle w:val="ListBullet"/>
        <w:spacing w:after="40"/>
      </w:pPr>
      <w:r>
        <w:t>src/reporter/report_generator.py and src/reporter/llm_provider.py</w:t>
      </w:r>
    </w:p>
    <w:p>
      <w:pPr>
        <w:pStyle w:val="ListBullet"/>
        <w:spacing w:after="40"/>
      </w:pPr>
      <w:r>
        <w:t>src/extractor/nemotron.py and src/extractor/claim_extractor.py</w:t>
      </w:r>
    </w:p>
    <w:p>
      <w:pPr>
        <w:pStyle w:val="ListBullet"/>
        <w:spacing w:after="40"/>
      </w:pPr>
      <w:r>
        <w:t>policy.yaml, .env.example, and tests/</w:t>
      </w:r>
    </w:p>
    <w:sectPr w:rsidR="00FC693F" w:rsidRPr="0006063C" w:rsidSect="00034616">
      <w:headerReference w:type="default" r:id="rId9"/>
      <w:footerReference w:type="default" r:id="rId10"/>
      <w:pgSz w:w="12240" w:h="15840"/>
      <w:pgMar w:top="1037" w:right="1181" w:bottom="1008"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96A79"/>
        <w:sz w:val="16"/>
      </w:rPr>
      <w:t xml:space="preserve">Handoff Guardian AI     </w:t>
    </w:r>
    <w:r>
      <w:rPr>
        <w:rFonts w:ascii="Arial" w:hAnsi="Arial"/>
        <w:color w:val="596A79"/>
        <w:sz w:val="16"/>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Pr>
    <w:r>
      <w:rPr>
        <w:rFonts w:ascii="Arial" w:hAnsi="Arial"/>
        <w:b/>
        <w:color w:val="147D78"/>
        <w:sz w:val="16"/>
      </w:rPr>
      <w:t>HANDOFF GUARDIAN AI     SPONSOR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47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 Technology Explanation</dc:title>
  <dc:subject>Handoff Guardian AI sponsor integration status</dc:subject>
  <dc:creator>Handoff Guardian AI team</dc:creator>
  <cp:keywords>Zetaris, Meterless, Nightshift, NVIDIA, Nemotron</cp:keywords>
  <dc:description>generated by python-docx</dc:description>
  <cp:lastModifiedBy/>
  <cp:revision>1</cp:revision>
  <dcterms:created xsi:type="dcterms:W3CDTF">2013-12-23T23:15:00Z</dcterms:created>
  <dcterms:modified xsi:type="dcterms:W3CDTF">2013-12-23T23:15:00Z</dcterms:modified>
  <cp:category/>
</cp:coreProperties>
</file>