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Book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Customer,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Cho phép Customer đặt bàn tại nhà hàng thông qua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Customer nhấn nút “Tiến hành đặt bàn” tại giao diện “Đặt bàn” trên website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Customer phải có tài khoản thành viên của nhà hàng.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Customer đã đăng nhập thành công vào tài khoản.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Thiết bị Customer sử dụng phải đang kết nối vào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Customer đặt bàn thành công thông qua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Normal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Customer nhấn “Tiến hành đặt bàn” tại giao diện “Đặt bàn” trên website của nhà hàng.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hiển thị giao diện Search Table.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3. Customer nhập thông tin bàn muốn đặt theo form.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4. Customer nhấn chọn bàn được hệ thống hiển thị sau khi tìm kiếm bàn theo yêu cầu.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5. Customer xác nhận đặt bàn.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6. Hệ thống thông báo đặt bàn thành công.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7. Hệ thống cập nhật, lưu thông tin của Customer và thông tin của bàn đã đặt vào database.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8. Hệ thống cập nhật sơ đồ bàn của nhà hàng.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9. Hệ thống gửi email về thông tin bàn Customer đã dặt.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A1: Tại bước 4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4.1 Hệ thống trả về thông báo không có bàn phù hợp yêu cầu của Customer.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4.2 Khách hàng tiến hành lại bước 3 để tìm bàn phù hợp khác.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E1:Tại bước 4: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4.3. Khách hàng không thể chọn được bàn do không thể tìm thấy bàn phù hợp với yêu cầu của khách hàng.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4.4. Khách hàng thoát khỏi giao diện đặt bàn.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End use case.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E2:Tại bước 4: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4.5. Hệ thống thông báo khách hàng không thể chọn được bàn vì vi phạm điều khoản đặt bàn của nhà hàng.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4.6. Khách hàng thoát khỏi giao diện đặt bàn.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End use case.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E3: Tại bước 5: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5.1 Customer không bấm xác nhận đặt bàn.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End use case.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Note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Điều khoản đặt bàn của nhà hàng là khách hàng không được vắng mặt khi tới thời điểm nhận bàn ( vắng mặt quá 15 phút) quá 3 lần.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1853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853F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8+SKgrHImw8oeryOwlvcYqkaxA==">AMUW2mXyzxRHswpTGTzjMBu7V6DMyA4+HBDytEMnP3azz3xT1ZNfct9CxuoxEPMvJGs4YmEgVkNPXCej0r++B0Bbdiake+Z7F1hQ2F9YuSIuYSJUT3P1bRg=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2021-09-15T08:22:00Z</dcterms:created>
  <dc:creator>vy nguyen</dc:creator>
</cp:coreProperties>
</file>