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335a8a4d446c0d8203ba569472d0385f134fdf"/>
    <w:p>
      <w:pPr>
        <w:pStyle w:val="Heading1"/>
      </w:pPr>
      <w:r>
        <w:t xml:space="preserve">The Crystal Ball Problem: Why Prediction Models Are Not Guaranteed to Improve Health Outcomes</w:t>
      </w:r>
    </w:p>
    <w:p>
      <w:pPr>
        <w:pStyle w:val="FirstParagraph"/>
      </w:pPr>
      <w:r>
        <w:t xml:space="preserve">Leo Anthony Celi, MD, MPH, MSc</w:t>
      </w:r>
      <w:r>
        <w:rPr>
          <w:vertAlign w:val="superscript"/>
        </w:rPr>
        <w:t xml:space="preserve">1,2,3</w:t>
      </w:r>
      <w:r>
        <w:t xml:space="preserve">, Ryohei Yamamoto, MD, PhD</w:t>
      </w:r>
      <w:r>
        <w:rPr>
          <w:vertAlign w:val="superscript"/>
        </w:rPr>
        <w:t xml:space="preserve">1,4</w:t>
      </w:r>
      <w:r>
        <w:t xml:space="preserve">, Chrystinne Fernandes, PhD</w:t>
      </w:r>
      <w:r>
        <w:rPr>
          <w:vertAlign w:val="superscript"/>
        </w:rPr>
        <w:t xml:space="preserve">1,3</w:t>
      </w:r>
      <w:r>
        <w:t xml:space="preserve">, Eri Kobayashi, MD</w:t>
      </w:r>
      <w:r>
        <w:rPr>
          <w:vertAlign w:val="superscript"/>
        </w:rPr>
        <w:t xml:space="preserve">5</w:t>
      </w:r>
      <w:r>
        <w:t xml:space="preserve">, Aiden Liang</w:t>
      </w:r>
      <w:r>
        <w:rPr>
          <w:vertAlign w:val="superscript"/>
        </w:rPr>
        <w:t xml:space="preserve">6</w:t>
      </w:r>
      <w:r>
        <w:t xml:space="preserve">, Heather Mattie, PhD, SM, MS</w:t>
      </w:r>
      <w:r>
        <w:rPr>
          <w:vertAlign w:val="superscript"/>
        </w:rPr>
        <w:t xml:space="preserve">3</w:t>
      </w:r>
      <w:r>
        <w:t xml:space="preserve">, Mohammad Shahin</w:t>
      </w:r>
      <w:r>
        <w:rPr>
          <w:vertAlign w:val="superscript"/>
        </w:rPr>
        <w:t xml:space="preserve">1,7</w:t>
      </w:r>
      <w:r>
        <w:t xml:space="preserve">, Kerollos Nashat Wanis, MD, PhD</w:t>
      </w:r>
      <w:r>
        <w:rPr>
          <w:vertAlign w:val="superscript"/>
        </w:rPr>
        <w:t xml:space="preserve">8,9,10,11</w:t>
      </w:r>
      <w:r>
        <w:t xml:space="preserve">, Melat Mezgebu Bawoke, MD</w:t>
      </w:r>
      <w:r>
        <w:rPr>
          <w:vertAlign w:val="superscript"/>
        </w:rPr>
        <w:t xml:space="preserve">12,*</w:t>
      </w:r>
    </w:p>
    <w:p>
      <w:pPr>
        <w:pStyle w:val="Compact"/>
        <w:numPr>
          <w:ilvl w:val="0"/>
          <w:numId w:val="1001"/>
        </w:numPr>
      </w:pPr>
      <w:r>
        <w:t xml:space="preserve">Laboratory for Computational Physiology, Massachusetts Institute of Technology, Cambridge, MA, USA</w:t>
      </w:r>
    </w:p>
    <w:p>
      <w:pPr>
        <w:pStyle w:val="Compact"/>
        <w:numPr>
          <w:ilvl w:val="0"/>
          <w:numId w:val="1001"/>
        </w:numPr>
      </w:pPr>
      <w:r>
        <w:t xml:space="preserve">Division of Pulmonary, Critical Care and Sleep Medicine, Beth Israel Deaconess Medical Center, Boston, MA, USA</w:t>
      </w:r>
    </w:p>
    <w:p>
      <w:pPr>
        <w:pStyle w:val="Compact"/>
        <w:numPr>
          <w:ilvl w:val="0"/>
          <w:numId w:val="1001"/>
        </w:numPr>
      </w:pPr>
      <w:r>
        <w:t xml:space="preserve">Department of Biostatistics, Harvard T.H. Chan School of Public Health, Boston, MA, USA</w:t>
      </w:r>
    </w:p>
    <w:p>
      <w:pPr>
        <w:pStyle w:val="Compact"/>
        <w:numPr>
          <w:ilvl w:val="0"/>
          <w:numId w:val="1001"/>
        </w:numPr>
      </w:pPr>
      <w:r>
        <w:t xml:space="preserve">Center for Innovative Research for Communities and Clinical Excellence (CIRC2LE), Fukushima Medical University, Fukushima, Japan</w:t>
      </w:r>
    </w:p>
    <w:p>
      <w:pPr>
        <w:pStyle w:val="Compact"/>
        <w:numPr>
          <w:ilvl w:val="0"/>
          <w:numId w:val="1001"/>
        </w:numPr>
      </w:pPr>
      <w:r>
        <w:t xml:space="preserve">Department of Emergency Medicine and Critical Care Medicine, Tochigi Prefectural Emergency and Critical Care Centre, Imperial Foundation Saiseikai Utsunomiya Hospital, Tochigi, Japan</w:t>
      </w:r>
    </w:p>
    <w:p>
      <w:pPr>
        <w:pStyle w:val="Compact"/>
        <w:numPr>
          <w:ilvl w:val="0"/>
          <w:numId w:val="1001"/>
        </w:numPr>
      </w:pPr>
      <w:r>
        <w:t xml:space="preserve">Sharon High School, Sharon, MA, USA</w:t>
      </w:r>
    </w:p>
    <w:p>
      <w:pPr>
        <w:pStyle w:val="Compact"/>
        <w:numPr>
          <w:ilvl w:val="0"/>
          <w:numId w:val="1001"/>
        </w:numPr>
      </w:pPr>
      <w:r>
        <w:t xml:space="preserve">Boston University School of Public Health, Boston, MA, USA</w:t>
      </w:r>
    </w:p>
    <w:p>
      <w:pPr>
        <w:pStyle w:val="Compact"/>
        <w:numPr>
          <w:ilvl w:val="0"/>
          <w:numId w:val="1001"/>
        </w:numPr>
      </w:pPr>
      <w:r>
        <w:t xml:space="preserve">Department of Breast Surgical Oncology, University of Texas MD Anderson Cancer Center, Houston, TX, USA</w:t>
      </w:r>
    </w:p>
    <w:p>
      <w:pPr>
        <w:pStyle w:val="Compact"/>
        <w:numPr>
          <w:ilvl w:val="0"/>
          <w:numId w:val="1001"/>
        </w:numPr>
      </w:pPr>
      <w:r>
        <w:t xml:space="preserve">Department of Health Services Research, University of Texas MD Anderson Cancer Center, Houston, TX, USA</w:t>
      </w:r>
    </w:p>
    <w:p>
      <w:pPr>
        <w:pStyle w:val="Compact"/>
        <w:numPr>
          <w:ilvl w:val="0"/>
          <w:numId w:val="1001"/>
        </w:numPr>
      </w:pPr>
      <w:r>
        <w:t xml:space="preserve">Department of Biostatistics, University of Texas MD Anderson Cancer Center, Houston, TX, USA</w:t>
      </w:r>
    </w:p>
    <w:p>
      <w:pPr>
        <w:pStyle w:val="Compact"/>
        <w:numPr>
          <w:ilvl w:val="0"/>
          <w:numId w:val="1001"/>
        </w:numPr>
      </w:pPr>
      <w:r>
        <w:t xml:space="preserve">Institute for Data Science in Oncology, University of Texas MD Anderson Cancer Center, Houston, TX, USA</w:t>
      </w:r>
    </w:p>
    <w:p>
      <w:pPr>
        <w:pStyle w:val="Compact"/>
        <w:numPr>
          <w:ilvl w:val="0"/>
          <w:numId w:val="1001"/>
        </w:numPr>
      </w:pPr>
      <w:r>
        <w:t xml:space="preserve">College of Health Sciences, Addis Ababa University, Addis Ababa, Ethiopia</w:t>
      </w:r>
    </w:p>
    <w:p>
      <w:pPr>
        <w:pStyle w:val="FirstParagraph"/>
      </w:pPr>
      <w:r>
        <w:t xml:space="preserve">*Corresponding author: Melat Mezgebu Bawoke (Melat.mezgebu@aau.edu.et)</w:t>
      </w:r>
    </w:p>
    <w:bookmarkEnd w:id="20"/>
    <w:bookmarkStart w:id="21" w:name="abstract"/>
    <w:p>
      <w:pPr>
        <w:pStyle w:val="Heading1"/>
      </w:pPr>
      <w:r>
        <w:t xml:space="preserve">Abstract</w:t>
      </w:r>
    </w:p>
    <w:p>
      <w:pPr>
        <w:pStyle w:val="FirstParagraph"/>
      </w:pPr>
      <w:r>
        <w:t xml:space="preserve">Clinical artificial intelligence (AI) has a seductive premise: if we can predict which patients will deteriorate, clinicians will intervene earlier, and outcomes will improve. This logic has launched thousands of startups and tens of thousands of manuscripts. It has attracted billions of dollars in investment. And it rests on an assumption that has rarely been tested: that accurate predictions, once placed in the hands of decision-makers, will translate into better decisions. In this perspective, we argue that this assumption is not merely unproven but is, in many clinical contexts, structurally flawed. We use anticoagulation management during extracorporeal membrane oxygenation (ECMO) as a case study to illustrate why prediction alone is insufficient, and we draw attention to a two-stage framework that separates forecasting from decision evaluation.</w:t>
      </w:r>
    </w:p>
    <w:bookmarkEnd w:id="21"/>
    <w:bookmarkStart w:id="22" w:name="the-prediction-epidemic"/>
    <w:p>
      <w:pPr>
        <w:pStyle w:val="Heading1"/>
      </w:pPr>
      <w:r>
        <w:t xml:space="preserve">The Prediction Epidemic</w:t>
      </w:r>
    </w:p>
    <w:p>
      <w:pPr>
        <w:pStyle w:val="FirstParagraph"/>
      </w:pPr>
      <w:r>
        <w:t xml:space="preserve">The biomedical literature is saturated with clinical prediction models. Systematic reviews have catalogued hundreds of models for conditions ranging from chronic obstructive pulmonary disease (COPD) to sepsis to surgical mortality, with consistent findings: many models are proposed, few are externally validated, and fewer still are adopted in practice</w:t>
      </w:r>
      <w:hyperlink w:anchor="ref-Bellou2019-ho">
        <w:r>
          <w:rPr>
            <w:rStyle w:val="Hyperlink"/>
            <w:vertAlign w:val="superscript"/>
          </w:rPr>
          <w:t xml:space="preserve">1</w:t>
        </w:r>
      </w:hyperlink>
      <w:r>
        <w:rPr>
          <w:vertAlign w:val="superscript"/>
        </w:rPr>
        <w:t xml:space="preserve">,</w:t>
      </w:r>
      <w:hyperlink w:anchor="ref-Markowetz2024-rz">
        <w:r>
          <w:rPr>
            <w:rStyle w:val="Hyperlink"/>
            <w:vertAlign w:val="superscript"/>
          </w:rPr>
          <w:t xml:space="preserve">2</w:t>
        </w:r>
      </w:hyperlink>
      <w:r>
        <w:t xml:space="preserve">. A 2024</w:t>
      </w:r>
      <w:r>
        <w:t xml:space="preserve"> </w:t>
      </w:r>
      <w:r>
        <w:rPr>
          <w:i/>
          <w:iCs/>
        </w:rPr>
        <w:t xml:space="preserve">Science</w:t>
      </w:r>
      <w:r>
        <w:t xml:space="preserve"> </w:t>
      </w:r>
      <w:r>
        <w:t xml:space="preserve">study demonstrated that machine learning models predicting schizophrenia outcomes achieved high accuracy internally but performed no better than chance out-of-sample</w:t>
      </w:r>
      <w:hyperlink w:anchor="ref-Chekroud2024-pu">
        <w:r>
          <w:rPr>
            <w:rStyle w:val="Hyperlink"/>
            <w:vertAlign w:val="superscript"/>
          </w:rPr>
          <w:t xml:space="preserve">3</w:t>
        </w:r>
      </w:hyperlink>
      <w:r>
        <w:t xml:space="preserve">. Inflated internal performance with disappointing external generalizability is not the exception; it is the norm.</w:t>
      </w:r>
    </w:p>
    <w:p>
      <w:pPr>
        <w:pStyle w:val="BodyText"/>
      </w:pPr>
      <w:r>
        <w:t xml:space="preserve">Yet the field continues publishing prediction models at an accelerating rate, implicitly claiming that better prediction yields better care. Major artificial intelligence (AI) venues now receive over 10,000 submissions annually</w:t>
      </w:r>
      <w:hyperlink w:anchor="ref-Kim2025-uj">
        <w:r>
          <w:rPr>
            <w:rStyle w:val="Hyperlink"/>
            <w:vertAlign w:val="superscript"/>
          </w:rPr>
          <w:t xml:space="preserve">4</w:t>
        </w:r>
      </w:hyperlink>
      <w:r>
        <w:t xml:space="preserve">; at one conference, submissions nearly tripled from 7,000 in 2024 to 20,000 in 2026, with an estimated 21% of peer reviews fully AI-generated</w:t>
      </w:r>
      <w:hyperlink w:anchor="ref-Naddaf2025-tk">
        <w:r>
          <w:rPr>
            <w:rStyle w:val="Hyperlink"/>
            <w:vertAlign w:val="superscript"/>
          </w:rPr>
          <w:t xml:space="preserve">5</w:t>
        </w:r>
      </w:hyperlink>
      <w:r>
        <w:rPr>
          <w:vertAlign w:val="superscript"/>
        </w:rPr>
        <w:t xml:space="preserve">,</w:t>
      </w:r>
      <w:hyperlink w:anchor="ref-Zhao2026-wj">
        <w:r>
          <w:rPr>
            <w:rStyle w:val="Hyperlink"/>
            <w:vertAlign w:val="superscript"/>
          </w:rPr>
          <w:t xml:space="preserve">6</w:t>
        </w:r>
      </w:hyperlink>
      <w:r>
        <w:t xml:space="preserve">. Although implementation-focused evaluation has advanced in some areas</w:t>
      </w:r>
      <w:hyperlink w:anchor="ref-Sparano2018-rf">
        <w:r>
          <w:rPr>
            <w:rStyle w:val="Hyperlink"/>
            <w:vertAlign w:val="superscript"/>
          </w:rPr>
          <w:t xml:space="preserve">7</w:t>
        </w:r>
      </w:hyperlink>
      <w:r>
        <w:rPr>
          <w:vertAlign w:val="superscript"/>
        </w:rPr>
        <w:t xml:space="preserve">,</w:t>
      </w:r>
      <w:hyperlink w:anchor="ref-Kalinsky2021-bd">
        <w:r>
          <w:rPr>
            <w:rStyle w:val="Hyperlink"/>
            <w:vertAlign w:val="superscript"/>
          </w:rPr>
          <w:t xml:space="preserve">8</w:t>
        </w:r>
      </w:hyperlink>
      <w:r>
        <w:t xml:space="preserve">, the broader literature still prioritizes model development over the harder work of evaluating performance within real clinical workflows.</w:t>
      </w:r>
    </w:p>
    <w:p>
      <w:pPr>
        <w:pStyle w:val="BodyText"/>
      </w:pPr>
      <w:r>
        <w:t xml:space="preserve">The result is what we might call a</w:t>
      </w:r>
      <w:r>
        <w:t xml:space="preserve"> </w:t>
      </w:r>
      <w:r>
        <w:t xml:space="preserve">“prediction epidemic”</w:t>
      </w:r>
      <w:r>
        <w:t xml:space="preserve">: a proliferation of forecasting tools that are technically sophisticated but too often disconnected from the decision architectures they are meant to serve.</w:t>
      </w:r>
    </w:p>
    <w:bookmarkEnd w:id="22"/>
    <w:bookmarkStart w:id="23" w:name="the-gap-between-prediction-and-decision"/>
    <w:p>
      <w:pPr>
        <w:pStyle w:val="Heading1"/>
      </w:pPr>
      <w:r>
        <w:t xml:space="preserve">The Gap Between Prediction and Decision</w:t>
      </w:r>
    </w:p>
    <w:p>
      <w:pPr>
        <w:pStyle w:val="FirstParagraph"/>
      </w:pPr>
      <w:r>
        <w:t xml:space="preserve">The core problem is a misalignment of epistemic goals. Prediction answers</w:t>
      </w:r>
      <w:r>
        <w:t xml:space="preserve"> </w:t>
      </w:r>
      <w:r>
        <w:t xml:space="preserve">“What is likely to happen?”</w:t>
      </w:r>
      <w:r>
        <w:t xml:space="preserve"> </w:t>
      </w:r>
      <w:r>
        <w:t xml:space="preserve">Causal inference answers</w:t>
      </w:r>
      <w:r>
        <w:t xml:space="preserve"> </w:t>
      </w:r>
      <w:r>
        <w:t xml:space="preserve">“What would happen if we did something differently?”</w:t>
      </w:r>
      <w:r>
        <w:t xml:space="preserve"> </w:t>
      </w:r>
      <w:r>
        <w:t xml:space="preserve">These are fundamentally distinct tasks requiring different data structures, assumptions, and analytic approaches</w:t>
      </w:r>
      <w:hyperlink w:anchor="ref-Hernan2019-ah">
        <w:r>
          <w:rPr>
            <w:rStyle w:val="Hyperlink"/>
            <w:vertAlign w:val="superscript"/>
          </w:rPr>
          <w:t xml:space="preserve">9</w:t>
        </w:r>
      </w:hyperlink>
      <w:r>
        <w:t xml:space="preserve">. As Hernán and colleagues have argued, predictive algorithms might inform us that decisions need to be made, but they cannot help us pick the best decisions</w:t>
      </w:r>
      <w:hyperlink w:anchor="ref-Hernan2019-ah">
        <w:r>
          <w:rPr>
            <w:rStyle w:val="Hyperlink"/>
            <w:vertAlign w:val="superscript"/>
          </w:rPr>
          <w:t xml:space="preserve">9</w:t>
        </w:r>
      </w:hyperlink>
      <w:r>
        <w:t xml:space="preserve">.</w:t>
      </w:r>
    </w:p>
    <w:p>
      <w:pPr>
        <w:pStyle w:val="BodyText"/>
      </w:pPr>
      <w:r>
        <w:t xml:space="preserve">Consider a simple illustration. A prediction model identifies a hospitalized patient as having an 80 percent probability of clinical deterioration within 24 hours. This may be useful in directing attention and prompting consideration of possible responses</w:t>
      </w:r>
      <w:hyperlink w:anchor="ref-Maley2020-pt">
        <w:r>
          <w:rPr>
            <w:rStyle w:val="Hyperlink"/>
            <w:vertAlign w:val="superscript"/>
          </w:rPr>
          <w:t xml:space="preserve">10</w:t>
        </w:r>
      </w:hyperlink>
      <w:r>
        <w:t xml:space="preserve">, but it says nothing about which action to take. Should the clinician escalate to the intensive care unit (ICU)? Administer a particular medication? Adjust a treatment protocol? The prediction model is silent on these questions because they are causal: they ask what would happen under different interventions, and the answers depend on the comparative effectiveness of those interventions, not the model’s risk estimate.</w:t>
      </w:r>
    </w:p>
    <w:p>
      <w:pPr>
        <w:pStyle w:val="BodyText"/>
      </w:pPr>
      <w:r>
        <w:t xml:space="preserve">This distinction is not academic. A systematic review comparing prediction models with clinical judgment found that models do not consistently outperform experienced clinicians in prognostic accuracy, and that even when they do, improved discrimination does not reliably translate into improved patient outcomes</w:t>
      </w:r>
      <w:hyperlink w:anchor="ref-Colunga-Lozano2023-xk">
        <w:r>
          <w:rPr>
            <w:rStyle w:val="Hyperlink"/>
            <w:vertAlign w:val="superscript"/>
          </w:rPr>
          <w:t xml:space="preserve">11</w:t>
        </w:r>
      </w:hyperlink>
      <w:r>
        <w:t xml:space="preserve">. Systematic and scoping reviews have found no consistent evidence that prediction-based clinical decision support systems improve patient outcomes in acute care settings</w:t>
      </w:r>
      <w:hyperlink w:anchor="ref-Blythe2022-xw">
        <w:r>
          <w:rPr>
            <w:rStyle w:val="Hyperlink"/>
            <w:vertAlign w:val="superscript"/>
          </w:rPr>
          <w:t xml:space="preserve">12</w:t>
        </w:r>
      </w:hyperlink>
      <w:r>
        <w:rPr>
          <w:vertAlign w:val="superscript"/>
        </w:rPr>
        <w:t xml:space="preserve">,</w:t>
      </w:r>
      <w:hyperlink w:anchor="ref-White2023-pl">
        <w:r>
          <w:rPr>
            <w:rStyle w:val="Hyperlink"/>
            <w:vertAlign w:val="superscript"/>
          </w:rPr>
          <w:t xml:space="preserve">13</w:t>
        </w:r>
      </w:hyperlink>
      <w:r>
        <w:t xml:space="preserve">. With increasingly sophisticated algorithms and abundant data, predictive accuracy will continue to improve. Yet the bottleneck is not the prediction; it is the decision process that follows.</w:t>
      </w:r>
    </w:p>
    <w:bookmarkEnd w:id="23"/>
    <w:bookmarkStart w:id="24" w:name="a-case-study-anticoagulation-in-ecmo"/>
    <w:p>
      <w:pPr>
        <w:pStyle w:val="Heading1"/>
      </w:pPr>
      <w:r>
        <w:t xml:space="preserve">A Case Study: Anticoagulation in ECMO</w:t>
      </w:r>
    </w:p>
    <w:p>
      <w:pPr>
        <w:pStyle w:val="FirstParagraph"/>
      </w:pPr>
      <w:r>
        <w:t xml:space="preserve">Extracorporeal membrane oxygenation (ECMO) provides cardiorespiratory support for patients in refractory heart or lung failure by circulating blood through an external circuit. Contact between blood and the non-biological surfaces of the ECMO circuit activates the coagulation cascade, creating a prothrombotic state that necessitates systemic anticoagulation, most commonly with unfractionated heparin</w:t>
      </w:r>
      <w:hyperlink w:anchor="ref-Kumar2021-sw">
        <w:r>
          <w:rPr>
            <w:rStyle w:val="Hyperlink"/>
            <w:vertAlign w:val="superscript"/>
          </w:rPr>
          <w:t xml:space="preserve">14</w:t>
        </w:r>
      </w:hyperlink>
      <w:r>
        <w:t xml:space="preserve">. However, anticoagulation carries its own risks: bleeding complications occur in 10 to 50 percent of ECMO patients, and intracranial hemorrhage remains a leading cause of death, with reported rates of 2 to 6 percent</w:t>
      </w:r>
      <w:hyperlink w:anchor="ref-Koster2019-zb">
        <w:r>
          <w:rPr>
            <w:rStyle w:val="Hyperlink"/>
            <w:vertAlign w:val="superscript"/>
          </w:rPr>
          <w:t xml:space="preserve">15</w:t>
        </w:r>
      </w:hyperlink>
      <w:r>
        <w:rPr>
          <w:vertAlign w:val="superscript"/>
        </w:rPr>
        <w:t xml:space="preserve">,</w:t>
      </w:r>
      <w:hyperlink w:anchor="ref-Martucci2024-ow">
        <w:r>
          <w:rPr>
            <w:rStyle w:val="Hyperlink"/>
            <w:vertAlign w:val="superscript"/>
          </w:rPr>
          <w:t xml:space="preserve">16</w:t>
        </w:r>
      </w:hyperlink>
      <w:r>
        <w:t xml:space="preserve">.</w:t>
      </w:r>
    </w:p>
    <w:p>
      <w:pPr>
        <w:pStyle w:val="BodyText"/>
      </w:pPr>
      <w:r>
        <w:t xml:space="preserve">The clinical challenge is immediate. During morning rounds, the care team reviews the previous 24 hours of data and sets a target activated partial thromboplastin time (aPTT), the blood test measuring anticoagulation intensity. If the target is too high, the patient may bleed catastrophically; if too low, the ECMO circuit may clot, requiring an expensive and risky component exchange. The heparin dose is then calibrated to the target aPTT and checked every four to six hours, with adjustments made as needed.</w:t>
      </w:r>
    </w:p>
    <w:p>
      <w:pPr>
        <w:pStyle w:val="BodyText"/>
      </w:pPr>
      <w:r>
        <w:t xml:space="preserve">Now imagine that a well-calibrated prediction model is deployed at the point of care, with the goal of flagging patients at high risk of bleeding. This model provides an estimate of the probability of bleeding within the next 24 hours for a population of patients with the same characteristics as this patient. The intuitive response is straightforward: if the model says the patient is going to bleed, lower the aPTT target.</w:t>
      </w:r>
    </w:p>
    <w:p>
      <w:pPr>
        <w:pStyle w:val="BodyText"/>
      </w:pPr>
      <w:r>
        <w:t xml:space="preserve">But this intuition conceals a causal question that the prediction model cannot answer: Will lowering the aPTT target in high-risk patients actually reduce bleeding while avoiding fatal circuit thrombosis? The answer depends on the causal effect of changing aPTT targets on bleeding outcomes, perhaps conditional on individual patient characteristics, and the secondary consequences of altered anticoagulation on circuit patency. The prediction model does not provide estimates of either of these parameters.</w:t>
      </w:r>
    </w:p>
    <w:p>
      <w:pPr>
        <w:pStyle w:val="BodyText"/>
      </w:pPr>
      <w:r>
        <w:t xml:space="preserve">Importantly, prediction models provide estimates of outcomes contingent on the treatment decisions made in the populations from which the training data was drawn. In this example, clinicians were already adjusting aPTT targets based on their own clinical judgment. And these adjustments were likely informed, at least in part, by many of the same features the model uses as predictors, such as aPTT trajectory, heparin dose trends, and hemoglobin levels. This can generate predictions that mislead decision-makers. For example, suppose that in the population used to train the model, clinicians tended to assign higher aPTT targets over the subsequent 24 hours to patients they judged to be at low baseline risk of bleeding, perhaps to reduce circuit clotting. Because this treatment decision itself may increase bleeding risk, some of these patients may subsequently have been observed to have a moderate or even high risk of bleeding. In this setting, the observed risk reflects not only patients’ characteristics but also clinicians’ responses to those characteristics. A prediction model trained on such data may fail to distinguish between these sources of risk and may, therefore, assign a moderate or high bleeding risk to future patients with similar characteristics. If clinicians then use that prediction to lower aPTT targets, the model may end up discouraging higher targets in patients who were actually at an initially low baseline risk of bleeding.</w:t>
      </w:r>
    </w:p>
    <w:bookmarkEnd w:id="24"/>
    <w:bookmarkStart w:id="25" w:name="the-two-stage-framework"/>
    <w:p>
      <w:pPr>
        <w:pStyle w:val="Heading1"/>
      </w:pPr>
      <w:r>
        <w:t xml:space="preserve">The Two-Stage Framework</w:t>
      </w:r>
    </w:p>
    <w:p>
      <w:pPr>
        <w:pStyle w:val="FirstParagraph"/>
      </w:pPr>
      <w:r>
        <w:t xml:space="preserve">We propose that the field more often use an explicit two-stage framework for translating predictive AI into clinical benefit. The first stage is prediction: developing and validating a model that accurately forecasts a clinically meaningful outcome, in this case, the risk of bleeding during ECMO. This stage follows established methodological principles, including measures of the model’s discrimination and calibration during development and external validation. Importantly, from the outset, the model should be designed with a specific action in mind, not merely to quantify risk, but also to inform a concrete clinical response. For example, the model could flag patients at high bleeding risk, with the potential decision-making objective of prompting a reduction in heparin dosage.</w:t>
      </w:r>
    </w:p>
    <w:p>
      <w:pPr>
        <w:pStyle w:val="BodyText"/>
      </w:pPr>
      <w:r>
        <w:t xml:space="preserve">The second stage is the evaluation of the model’s usefulness in achieving that potential objective. For example, studying whether a specific decision protocol that incorporates the prediction model leads to better outcomes than standard care, or comparing intervention strategies among patients selected using the prediction model as an eligibility criterion. These are causal questions and require causal methods.</w:t>
      </w:r>
    </w:p>
    <w:p>
      <w:pPr>
        <w:pStyle w:val="BodyText"/>
      </w:pPr>
      <w:r>
        <w:t xml:space="preserve">One approach that can help design observational studies to learn about causal effects is</w:t>
      </w:r>
      <w:r>
        <w:t xml:space="preserve"> </w:t>
      </w:r>
      <w:r>
        <w:t xml:space="preserve">“target trial emulation,”</w:t>
      </w:r>
      <w:r>
        <w:t xml:space="preserve"> </w:t>
      </w:r>
      <w:r>
        <w:t xml:space="preserve">in which the investigators specify the protocol of the randomized trial they wish they could conduct (including eligibility criteria, treatment strategies, assignment procedures, and outcomes) and then attempt to emulate that trial with observational data</w:t>
      </w:r>
      <w:hyperlink w:anchor="ref-Hernan2016-nv">
        <w:r>
          <w:rPr>
            <w:rStyle w:val="Hyperlink"/>
            <w:vertAlign w:val="superscript"/>
          </w:rPr>
          <w:t xml:space="preserve">17</w:t>
        </w:r>
      </w:hyperlink>
      <w:r>
        <w:rPr>
          <w:vertAlign w:val="superscript"/>
        </w:rPr>
        <w:t xml:space="preserve">,</w:t>
      </w:r>
      <w:hyperlink w:anchor="ref-Hubbard2024-tq">
        <w:r>
          <w:rPr>
            <w:rStyle w:val="Hyperlink"/>
            <w:vertAlign w:val="superscript"/>
          </w:rPr>
          <w:t xml:space="preserve">18</w:t>
        </w:r>
      </w:hyperlink>
      <w:r>
        <w:t xml:space="preserve">. Indeed, some of the most impactful prediction models have succeeded precisely because they were embedded within randomized trial eligibility criteria or treatment strategies, enabling direct causal evaluation of prediction-guided care, as exemplified by genomic signatures such as Oncotype DX and MammaPrint in breast oncology</w:t>
      </w:r>
      <w:hyperlink w:anchor="ref-Sparano2018-rf">
        <w:r>
          <w:rPr>
            <w:rStyle w:val="Hyperlink"/>
            <w:vertAlign w:val="superscript"/>
          </w:rPr>
          <w:t xml:space="preserve">7</w:t>
        </w:r>
      </w:hyperlink>
      <w:r>
        <w:rPr>
          <w:vertAlign w:val="superscript"/>
        </w:rPr>
        <w:t xml:space="preserve">,</w:t>
      </w:r>
      <w:hyperlink w:anchor="ref-Kalinsky2021-bd">
        <w:r>
          <w:rPr>
            <w:rStyle w:val="Hyperlink"/>
            <w:vertAlign w:val="superscript"/>
          </w:rPr>
          <w:t xml:space="preserve">8</w:t>
        </w:r>
      </w:hyperlink>
      <w:r>
        <w:t xml:space="preserve">.</w:t>
      </w:r>
    </w:p>
    <w:p>
      <w:pPr>
        <w:pStyle w:val="BodyText"/>
      </w:pPr>
      <w:r>
        <w:t xml:space="preserve">In the ECMO example, the target trial might compare two anticoagulation strategies: a prediction-guided strategy, in which clinicians lower the aPTT target when the model predicts high bleeding risk, versus standard care without the prediction model. The emulated trial would estimate the causal effect of the prediction-guided strategy on outcomes such as mortality, major bleeding events, and circuit exchanges.</w:t>
      </w:r>
    </w:p>
    <w:p>
      <w:pPr>
        <w:pStyle w:val="BodyText"/>
      </w:pPr>
      <w:r>
        <w:t xml:space="preserve">This framework makes explicit what is usually assumed: that the prediction model should inform an intervention. The intervention is a decision protocol that uses the prediction model as one input among many. The prediction model functions as a, possibly time-varying, covariate on which the treatment strategy is made dynamic</w:t>
      </w:r>
      <w:hyperlink w:anchor="ref-Robins2000-jd">
        <w:r>
          <w:rPr>
            <w:rStyle w:val="Hyperlink"/>
            <w:vertAlign w:val="superscript"/>
          </w:rPr>
          <w:t xml:space="preserve">19</w:t>
        </w:r>
      </w:hyperlink>
      <w:r>
        <w:t xml:space="preserve">.</w:t>
      </w:r>
    </w:p>
    <w:p>
      <w:pPr>
        <w:pStyle w:val="BodyText"/>
      </w:pPr>
      <w:r>
        <w:t xml:space="preserve">The distinction matters enormously. A prediction model with excellent discrimination might still lead to worse outcomes if clinicians respond to its outputs in ways that are harmful, for example, by over-correcting anticoagulation in response to high-risk predictions, leading to an increase in fatal circuit thrombosis. Conversely, a prediction model with moderate accuracy might still improve outcomes if it is embedded in a well-designed decision protocol that accounts for the asymmetric consequences of bleeding versus clotting.</w:t>
      </w:r>
    </w:p>
    <w:bookmarkEnd w:id="25"/>
    <w:bookmarkStart w:id="26" w:name="X506235ee53b642bec1dd2f01f6e0b8038aedd30"/>
    <w:p>
      <w:pPr>
        <w:pStyle w:val="Heading1"/>
      </w:pPr>
      <w:r>
        <w:t xml:space="preserve">Practical Challenges and the Path Forward</w:t>
      </w:r>
    </w:p>
    <w:p>
      <w:pPr>
        <w:pStyle w:val="FirstParagraph"/>
      </w:pPr>
      <w:r>
        <w:t xml:space="preserve">Prospective evaluations of prediction-guided care, including silent deployments, randomized trials, and stepped-wedge studies, remain the most credible test of whether such strategies improve outcomes, and recent reporting frameworks codify this expectation</w:t>
      </w:r>
      <w:hyperlink w:anchor="ref-Wong2021-rf">
        <w:r>
          <w:rPr>
            <w:rStyle w:val="Hyperlink"/>
            <w:vertAlign w:val="superscript"/>
          </w:rPr>
          <w:t xml:space="preserve">20</w:t>
        </w:r>
      </w:hyperlink>
      <w:r>
        <w:rPr>
          <w:vertAlign w:val="superscript"/>
        </w:rPr>
        <w:t xml:space="preserve">–</w:t>
      </w:r>
      <w:hyperlink w:anchor="ref-Collins2024-fg">
        <w:r>
          <w:rPr>
            <w:rStyle w:val="Hyperlink"/>
            <w:vertAlign w:val="superscript"/>
          </w:rPr>
          <w:t xml:space="preserve">25</w:t>
        </w:r>
      </w:hyperlink>
      <w:r>
        <w:t xml:space="preserve">. Our second stage is meant to complement these designs, not replace them: it serves as a bridge that refines candidate strategies in existing data before prospective testing, and as the best available alternative when such testing is infeasible.</w:t>
      </w:r>
    </w:p>
    <w:p>
      <w:pPr>
        <w:pStyle w:val="BodyText"/>
      </w:pPr>
      <w:r>
        <w:t xml:space="preserve">We acknowledge that the two-stage framework is demanding. Causal inference studies involving time-varying interventions require large datasets, carefully defined causal questions, and sophisticated statistical methods</w:t>
      </w:r>
      <w:hyperlink w:anchor="ref-Janse2024-js">
        <w:r>
          <w:rPr>
            <w:rStyle w:val="Hyperlink"/>
            <w:vertAlign w:val="superscript"/>
          </w:rPr>
          <w:t xml:space="preserve">26</w:t>
        </w:r>
      </w:hyperlink>
      <w:r>
        <w:t xml:space="preserve">. In many clinical contexts, including ECMO, where cohorts are often small, the available data may be insufficient for credible causal analysis. This is not a reason to skip the causal question; it is a reason to be honest about what prediction models can and cannot deliver with the data at hand.</w:t>
      </w:r>
    </w:p>
    <w:p>
      <w:pPr>
        <w:pStyle w:val="BodyText"/>
      </w:pPr>
      <w:r>
        <w:t xml:space="preserve">What we can do immediately is change the way we frame prediction model research. Every manuscript that proposes a clinical prediction model would be improved by addressing, at a minimum, the following questions: What clinical decision is this model intended to inform? What would a clinician do differently with this information? Has the effectiveness of that altered decision been evaluated, or at least, is a study design proposed for doing so? These questions are not burdensome. They are due diligence before claiming that a model has clinical value.</w:t>
      </w:r>
    </w:p>
    <w:p>
      <w:pPr>
        <w:pStyle w:val="BodyText"/>
      </w:pPr>
      <w:r>
        <w:t xml:space="preserve">Answering these questions well, however, requires more than self-reflection by model developers. It requires genuine engagement with the multidisciplinary medical team who make the decisions in question. We therefore advocate for structured co-design with frontline clinicians to help ensure that model outputs are actionable, to consider the range of actions that could be taken in response to model predictions, and to identify which patient outcomes the model users hope to affect by incorporating model predictions.</w:t>
      </w:r>
    </w:p>
    <w:p>
      <w:pPr>
        <w:pStyle w:val="BodyText"/>
      </w:pPr>
      <w:r>
        <w:t xml:space="preserve">One way to improve the utilization of the two-stage framework, based on our own experience building longitudinal clinical datasets for causal inference</w:t>
      </w:r>
      <w:hyperlink w:anchor="ref-Wanis2023-yr">
        <w:r>
          <w:rPr>
            <w:rStyle w:val="Hyperlink"/>
            <w:vertAlign w:val="superscript"/>
          </w:rPr>
          <w:t xml:space="preserve">27</w:t>
        </w:r>
      </w:hyperlink>
      <w:r>
        <w:rPr>
          <w:vertAlign w:val="superscript"/>
        </w:rPr>
        <w:t xml:space="preserve">,</w:t>
      </w:r>
      <w:hyperlink w:anchor="ref-Moukheiber2025-ga">
        <w:r>
          <w:rPr>
            <w:rStyle w:val="Hyperlink"/>
            <w:vertAlign w:val="superscript"/>
          </w:rPr>
          <w:t xml:space="preserve">28</w:t>
        </w:r>
      </w:hyperlink>
      <w:r>
        <w:t xml:space="preserve">, is to develop open-source software packages that facilitate the construction of datasets for estimating effects of time-varying intervention strategies using electronic health records.</w:t>
      </w:r>
    </w:p>
    <w:p>
      <w:pPr>
        <w:pStyle w:val="BodyText"/>
      </w:pPr>
      <w:r>
        <w:t xml:space="preserve">Just as super-learner packages have democratized ensemble machine learning</w:t>
      </w:r>
      <w:hyperlink w:anchor="ref-van-der-Laan2007-me">
        <w:r>
          <w:rPr>
            <w:rStyle w:val="Hyperlink"/>
            <w:vertAlign w:val="superscript"/>
          </w:rPr>
          <w:t xml:space="preserve">29</w:t>
        </w:r>
      </w:hyperlink>
      <w:r>
        <w:t xml:space="preserve">, packages that assist with the often difficult task of longitudinal dataset development could lower the barrier to rigorous decision evaluation. But such tools must come with education and input from causal inference experts: too often, investigators apply complex statistical packages as black boxes, reporting results without understanding the assumptions encoded within them.</w:t>
      </w:r>
    </w:p>
    <w:bookmarkEnd w:id="26"/>
    <w:bookmarkStart w:id="27" w:name="conclusion"/>
    <w:p>
      <w:pPr>
        <w:pStyle w:val="Heading1"/>
      </w:pPr>
      <w:r>
        <w:t xml:space="preserve">Conclusion</w:t>
      </w:r>
    </w:p>
    <w:p>
      <w:pPr>
        <w:pStyle w:val="FirstParagraph"/>
      </w:pPr>
      <w:r>
        <w:t xml:space="preserve">The field of clinical AI is building crystal balls at an industrial scale and skipping the hard part: studying whether the decisions people make with those crystal balls actually improve patient outcomes. A prediction model that forecasts bleeding during ECMO is a starting point, not a destination. The destination requires a second, fundamentally different study: one that asks what happens when predictions are embedded in specific decision protocols and compared against the status quo.</w:t>
      </w:r>
    </w:p>
    <w:p>
      <w:pPr>
        <w:pStyle w:val="BodyText"/>
      </w:pPr>
      <w:r>
        <w:t xml:space="preserve">Until we close this gap, the clinical value of prediction models remains an article of faith, not evidence. The dam is breaking under the weight of an ever-expanding literature of predictive models without decision evaluation. We need fewer prophets and more experiments. And we need the humility to recognize that knowing what may be coming is not the same as knowing what to do about it.</w:t>
      </w:r>
    </w:p>
    <w:bookmarkEnd w:id="27"/>
    <w:bookmarkStart w:id="28" w:name="acknowledgements"/>
    <w:p>
      <w:pPr>
        <w:pStyle w:val="Heading1"/>
      </w:pPr>
      <w:r>
        <w:t xml:space="preserve">Acknowledgements</w:t>
      </w:r>
    </w:p>
    <w:p>
      <w:pPr>
        <w:pStyle w:val="FirstParagraph"/>
      </w:pPr>
      <w:r>
        <w:t xml:space="preserve">LAC is funded by the National Institute of Health through DS-I Africa U54 TW012043-01 and Bridge2AI OT2OD032701, the National Science Foundation through ITEST #2148451, a grant of the Boston-Korea Innovative Research Project (RS-2024-00403047) and a grant of the Korea Health Technology R&amp;D Project (RS-2024-00439677) through the Korea Health Industry Development Institute (KHIDI) as funded by the Ministry of Health &amp; Welfare, Republic of Korea. RY is supported by a grant from The Naito Foundation (FY2024 Overseas Research Fellowship/Grant). The funders played no role in the conception, writing, analysis, interpretation, or decision to submit this Perspective.</w:t>
      </w:r>
    </w:p>
    <w:bookmarkEnd w:id="28"/>
    <w:bookmarkStart w:id="29" w:name="author-contributions"/>
    <w:p>
      <w:pPr>
        <w:pStyle w:val="Heading1"/>
      </w:pPr>
      <w:r>
        <w:t xml:space="preserve">Author contributions</w:t>
      </w:r>
    </w:p>
    <w:p>
      <w:pPr>
        <w:pStyle w:val="FirstParagraph"/>
      </w:pPr>
      <w:r>
        <w:t xml:space="preserve">LAC, KNW, MMB, and RY conceptualized the perspective and the two-stage framework separating prediction from causal decision evaluation. LAC, RY and EK contributed clinical expertise on extracorporeal membrane oxygenation (ECMO) and anticoagulation management, and developed the case study. AL, CF, HM, and MS contributed to the methodological framing and the analysis of the prediction. LAC, RY and MMB drafted the manuscript with input from all authors. LAC and MMB supervised the project. All authors critically reviewed and revised the manuscript, and all authors read and approved the final manuscript.</w:t>
      </w:r>
    </w:p>
    <w:bookmarkEnd w:id="29"/>
    <w:bookmarkStart w:id="30" w:name="competing-interests"/>
    <w:p>
      <w:pPr>
        <w:pStyle w:val="Heading1"/>
      </w:pPr>
      <w:r>
        <w:t xml:space="preserve">Competing interests</w:t>
      </w:r>
    </w:p>
    <w:p>
      <w:pPr>
        <w:pStyle w:val="FirstParagraph"/>
      </w:pPr>
      <w:r>
        <w:t xml:space="preserve">The authors declare no competing financial or non-financial interests.</w:t>
      </w:r>
    </w:p>
    <w:bookmarkEnd w:id="30"/>
    <w:bookmarkStart w:id="31" w:name="data-availability"/>
    <w:p>
      <w:pPr>
        <w:pStyle w:val="Heading1"/>
      </w:pPr>
      <w:r>
        <w:t xml:space="preserve">Data availability</w:t>
      </w:r>
    </w:p>
    <w:p>
      <w:pPr>
        <w:pStyle w:val="FirstParagraph"/>
      </w:pPr>
      <w:r>
        <w:t xml:space="preserve">Data sharing is not applicable to this article as no datasets were generated or analysed during the current study.</w:t>
      </w:r>
    </w:p>
    <w:bookmarkEnd w:id="31"/>
    <w:bookmarkStart w:id="62" w:name="references"/>
    <w:p>
      <w:pPr>
        <w:pStyle w:val="Heading1"/>
      </w:pPr>
      <w:r>
        <w:t xml:space="preserve">References</w:t>
      </w:r>
    </w:p>
    <w:bookmarkStart w:id="61" w:name="refs"/>
    <w:bookmarkStart w:id="32" w:name="ref-Bellou2019-ho"/>
    <w:p>
      <w:pPr>
        <w:pStyle w:val="Bibliography"/>
      </w:pPr>
      <w:r>
        <w:t xml:space="preserve">1.</w:t>
      </w:r>
      <w:r>
        <w:t xml:space="preserve"> </w:t>
      </w:r>
      <w:r>
        <w:t xml:space="preserve">	</w:t>
      </w:r>
      <w:r>
        <w:t xml:space="preserve">Bellou, V., Belbasis, L., Konstantinidis, A. K., Tzoulaki, I. &amp; Evangelou, E. Prognostic models for outcome prediction in patients with chronic obstructive pulmonary disease: Systematic review and critical appraisal.</w:t>
      </w:r>
      <w:r>
        <w:t xml:space="preserve"> </w:t>
      </w:r>
      <w:r>
        <w:rPr>
          <w:i/>
          <w:iCs/>
        </w:rPr>
        <w:t xml:space="preserve">BMJ</w:t>
      </w:r>
      <w:r>
        <w:t xml:space="preserve"> </w:t>
      </w:r>
      <w:r>
        <w:rPr>
          <w:b/>
          <w:bCs/>
        </w:rPr>
        <w:t xml:space="preserve">367</w:t>
      </w:r>
      <w:r>
        <w:t xml:space="preserve">, l5358 (2019).</w:t>
      </w:r>
    </w:p>
    <w:bookmarkEnd w:id="32"/>
    <w:bookmarkStart w:id="33" w:name="ref-Markowetz2024-rz"/>
    <w:p>
      <w:pPr>
        <w:pStyle w:val="Bibliography"/>
      </w:pPr>
      <w:r>
        <w:t xml:space="preserve">2.</w:t>
      </w:r>
      <w:r>
        <w:t xml:space="preserve"> </w:t>
      </w:r>
      <w:r>
        <w:t xml:space="preserve">	</w:t>
      </w:r>
      <w:r>
        <w:t xml:space="preserve">Markowetz, F. All models are wrong and yours are useless: Making clinical prediction models impactful for patients.</w:t>
      </w:r>
      <w:r>
        <w:t xml:space="preserve"> </w:t>
      </w:r>
      <w:r>
        <w:rPr>
          <w:i/>
          <w:iCs/>
        </w:rPr>
        <w:t xml:space="preserve">NPJ Precis. Oncol.</w:t>
      </w:r>
      <w:r>
        <w:t xml:space="preserve"> </w:t>
      </w:r>
      <w:r>
        <w:rPr>
          <w:b/>
          <w:bCs/>
        </w:rPr>
        <w:t xml:space="preserve">8</w:t>
      </w:r>
      <w:r>
        <w:t xml:space="preserve">, 54 (2024).</w:t>
      </w:r>
    </w:p>
    <w:bookmarkEnd w:id="33"/>
    <w:bookmarkStart w:id="34" w:name="ref-Chekroud2024-pu"/>
    <w:p>
      <w:pPr>
        <w:pStyle w:val="Bibliography"/>
      </w:pPr>
      <w:r>
        <w:t xml:space="preserve">3.</w:t>
      </w:r>
      <w:r>
        <w:t xml:space="preserve"> </w:t>
      </w:r>
      <w:r>
        <w:t xml:space="preserve">	</w:t>
      </w:r>
      <w:r>
        <w:t xml:space="preserve">Chekroud, A. M.</w:t>
      </w:r>
      <w:r>
        <w:t xml:space="preserve"> </w:t>
      </w:r>
      <w:r>
        <w:rPr>
          <w:i/>
          <w:iCs/>
        </w:rPr>
        <w:t xml:space="preserve">et al.</w:t>
      </w:r>
      <w:r>
        <w:t xml:space="preserve"> Illusory generalizability of clinical prediction models.</w:t>
      </w:r>
      <w:r>
        <w:t xml:space="preserve"> </w:t>
      </w:r>
      <w:r>
        <w:rPr>
          <w:i/>
          <w:iCs/>
        </w:rPr>
        <w:t xml:space="preserve">Science</w:t>
      </w:r>
      <w:r>
        <w:t xml:space="preserve"> </w:t>
      </w:r>
      <w:r>
        <w:rPr>
          <w:b/>
          <w:bCs/>
        </w:rPr>
        <w:t xml:space="preserve">383</w:t>
      </w:r>
      <w:r>
        <w:t xml:space="preserve">, 164–167 (2024).</w:t>
      </w:r>
    </w:p>
    <w:bookmarkEnd w:id="34"/>
    <w:bookmarkStart w:id="35" w:name="ref-Kim2025-uj"/>
    <w:p>
      <w:pPr>
        <w:pStyle w:val="Bibliography"/>
      </w:pPr>
      <w:r>
        <w:t xml:space="preserve">4.</w:t>
      </w:r>
      <w:r>
        <w:t xml:space="preserve"> </w:t>
      </w:r>
      <w:r>
        <w:t xml:space="preserve">	</w:t>
      </w:r>
      <w:r>
        <w:t xml:space="preserve">Kim, J., Lee, Y. &amp; Lee, S. Position: The</w:t>
      </w:r>
      <w:r>
        <w:t xml:space="preserve"> </w:t>
      </w:r>
      <w:r>
        <w:t xml:space="preserve">AI</w:t>
      </w:r>
      <w:r>
        <w:t xml:space="preserve"> </w:t>
      </w:r>
      <w:r>
        <w:t xml:space="preserve">conference peer review crisis demands author feedback and reviewer rewards.</w:t>
      </w:r>
      <w:r>
        <w:t xml:space="preserve"> </w:t>
      </w:r>
      <w:r>
        <w:rPr>
          <w:i/>
          <w:iCs/>
        </w:rPr>
        <w:t xml:space="preserve">arXiv [cs.AI]</w:t>
      </w:r>
      <w:r>
        <w:t xml:space="preserve"> </w:t>
      </w:r>
      <w:r>
        <w:t xml:space="preserve">(2025).</w:t>
      </w:r>
    </w:p>
    <w:bookmarkEnd w:id="35"/>
    <w:bookmarkStart w:id="36" w:name="ref-Naddaf2025-tk"/>
    <w:p>
      <w:pPr>
        <w:pStyle w:val="Bibliography"/>
      </w:pPr>
      <w:r>
        <w:t xml:space="preserve">5.</w:t>
      </w:r>
      <w:r>
        <w:t xml:space="preserve"> </w:t>
      </w:r>
      <w:r>
        <w:t xml:space="preserve">	</w:t>
      </w:r>
      <w:r>
        <w:t xml:space="preserve">Naddaf, M. Major</w:t>
      </w:r>
      <w:r>
        <w:t xml:space="preserve"> </w:t>
      </w:r>
      <w:r>
        <w:t xml:space="preserve">AI</w:t>
      </w:r>
      <w:r>
        <w:t xml:space="preserve"> </w:t>
      </w:r>
      <w:r>
        <w:t xml:space="preserve">conference flooded with peer reviews written fully by</w:t>
      </w:r>
      <w:r>
        <w:t xml:space="preserve"> </w:t>
      </w:r>
      <w:r>
        <w:t xml:space="preserve">AI</w:t>
      </w:r>
      <w:r>
        <w:t xml:space="preserve">.</w:t>
      </w:r>
      <w:r>
        <w:t xml:space="preserve"> </w:t>
      </w:r>
      <w:r>
        <w:rPr>
          <w:i/>
          <w:iCs/>
        </w:rPr>
        <w:t xml:space="preserve">Nature</w:t>
      </w:r>
      <w:r>
        <w:t xml:space="preserve"> </w:t>
      </w:r>
      <w:r>
        <w:rPr>
          <w:b/>
          <w:bCs/>
        </w:rPr>
        <w:t xml:space="preserve">648</w:t>
      </w:r>
      <w:r>
        <w:t xml:space="preserve">, 256–257 (2025).</w:t>
      </w:r>
    </w:p>
    <w:bookmarkEnd w:id="36"/>
    <w:bookmarkStart w:id="37" w:name="ref-Zhao2026-wj"/>
    <w:p>
      <w:pPr>
        <w:pStyle w:val="Bibliography"/>
      </w:pPr>
      <w:r>
        <w:t xml:space="preserve">6.</w:t>
      </w:r>
      <w:r>
        <w:t xml:space="preserve"> </w:t>
      </w:r>
      <w:r>
        <w:t xml:space="preserve">	</w:t>
      </w:r>
      <w:r>
        <w:t xml:space="preserve">Zhao, C. &amp; Greshko, M. Hack reveals reviewer identities for huge</w:t>
      </w:r>
      <w:r>
        <w:t xml:space="preserve"> </w:t>
      </w:r>
      <w:r>
        <w:t xml:space="preserve">AI</w:t>
      </w:r>
      <w:r>
        <w:t xml:space="preserve"> </w:t>
      </w:r>
      <w:r>
        <w:t xml:space="preserve">conference.</w:t>
      </w:r>
      <w:r>
        <w:t xml:space="preserve"> </w:t>
      </w:r>
      <w:r>
        <w:rPr>
          <w:i/>
          <w:iCs/>
        </w:rPr>
        <w:t xml:space="preserve">Science</w:t>
      </w:r>
      <w:r>
        <w:t xml:space="preserve"> </w:t>
      </w:r>
      <w:r>
        <w:rPr>
          <w:b/>
          <w:bCs/>
        </w:rPr>
        <w:t xml:space="preserve">391</w:t>
      </w:r>
      <w:r>
        <w:t xml:space="preserve">, 14–15 (2026).</w:t>
      </w:r>
    </w:p>
    <w:bookmarkEnd w:id="37"/>
    <w:bookmarkStart w:id="38" w:name="ref-Sparano2018-rf"/>
    <w:p>
      <w:pPr>
        <w:pStyle w:val="Bibliography"/>
      </w:pPr>
      <w:r>
        <w:t xml:space="preserve">7.</w:t>
      </w:r>
      <w:r>
        <w:t xml:space="preserve"> </w:t>
      </w:r>
      <w:r>
        <w:t xml:space="preserve">	</w:t>
      </w:r>
      <w:r>
        <w:t xml:space="preserve">Sparano, J. A.</w:t>
      </w:r>
      <w:r>
        <w:t xml:space="preserve"> </w:t>
      </w:r>
      <w:r>
        <w:rPr>
          <w:i/>
          <w:iCs/>
        </w:rPr>
        <w:t xml:space="preserve">et al.</w:t>
      </w:r>
      <w:r>
        <w:t xml:space="preserve"> Adjuvant chemotherapy guided by a 21-gene expression assay in breast cancer.</w:t>
      </w:r>
      <w:r>
        <w:t xml:space="preserve"> </w:t>
      </w:r>
      <w:r>
        <w:rPr>
          <w:i/>
          <w:iCs/>
        </w:rPr>
        <w:t xml:space="preserve">N. Engl. J. Med.</w:t>
      </w:r>
      <w:r>
        <w:t xml:space="preserve"> </w:t>
      </w:r>
      <w:r>
        <w:rPr>
          <w:b/>
          <w:bCs/>
        </w:rPr>
        <w:t xml:space="preserve">379</w:t>
      </w:r>
      <w:r>
        <w:t xml:space="preserve">, 111–121 (2018).</w:t>
      </w:r>
    </w:p>
    <w:bookmarkEnd w:id="38"/>
    <w:bookmarkStart w:id="39" w:name="ref-Kalinsky2021-bd"/>
    <w:p>
      <w:pPr>
        <w:pStyle w:val="Bibliography"/>
      </w:pPr>
      <w:r>
        <w:t xml:space="preserve">8.</w:t>
      </w:r>
      <w:r>
        <w:t xml:space="preserve"> </w:t>
      </w:r>
      <w:r>
        <w:t xml:space="preserve">	</w:t>
      </w:r>
      <w:r>
        <w:t xml:space="preserve">Kalinsky, K.</w:t>
      </w:r>
      <w:r>
        <w:t xml:space="preserve"> </w:t>
      </w:r>
      <w:r>
        <w:rPr>
          <w:i/>
          <w:iCs/>
        </w:rPr>
        <w:t xml:space="preserve">et al.</w:t>
      </w:r>
      <w:r>
        <w:t xml:space="preserve"> 21-gene assay to inform chemotherapy benefit in node-positive breast cancer.</w:t>
      </w:r>
      <w:r>
        <w:t xml:space="preserve"> </w:t>
      </w:r>
      <w:r>
        <w:rPr>
          <w:i/>
          <w:iCs/>
        </w:rPr>
        <w:t xml:space="preserve">N. Engl. J. Med.</w:t>
      </w:r>
      <w:r>
        <w:t xml:space="preserve"> </w:t>
      </w:r>
      <w:r>
        <w:rPr>
          <w:b/>
          <w:bCs/>
        </w:rPr>
        <w:t xml:space="preserve">385</w:t>
      </w:r>
      <w:r>
        <w:t xml:space="preserve">, 2336–2347 (2021).</w:t>
      </w:r>
    </w:p>
    <w:bookmarkEnd w:id="39"/>
    <w:bookmarkStart w:id="40" w:name="ref-Hernan2019-ah"/>
    <w:p>
      <w:pPr>
        <w:pStyle w:val="Bibliography"/>
      </w:pPr>
      <w:r>
        <w:t xml:space="preserve">9.</w:t>
      </w:r>
      <w:r>
        <w:t xml:space="preserve"> </w:t>
      </w:r>
      <w:r>
        <w:t xml:space="preserve">	</w:t>
      </w:r>
      <w:r>
        <w:t xml:space="preserve">Hernán, M. A., Hsu, J. &amp; Healy, B. A second chance to get causal inference right: A classification of data science tasks.</w:t>
      </w:r>
      <w:r>
        <w:t xml:space="preserve"> </w:t>
      </w:r>
      <w:r>
        <w:rPr>
          <w:i/>
          <w:iCs/>
        </w:rPr>
        <w:t xml:space="preserve">Chance (N. Y.)</w:t>
      </w:r>
      <w:r>
        <w:t xml:space="preserve"> </w:t>
      </w:r>
      <w:r>
        <w:rPr>
          <w:b/>
          <w:bCs/>
        </w:rPr>
        <w:t xml:space="preserve">32</w:t>
      </w:r>
      <w:r>
        <w:t xml:space="preserve">, 42–49 (2019).</w:t>
      </w:r>
    </w:p>
    <w:bookmarkEnd w:id="40"/>
    <w:bookmarkStart w:id="41" w:name="ref-Maley2020-pt"/>
    <w:p>
      <w:pPr>
        <w:pStyle w:val="Bibliography"/>
      </w:pPr>
      <w:r>
        <w:t xml:space="preserve">10.</w:t>
      </w:r>
      <w:r>
        <w:t xml:space="preserve"> </w:t>
      </w:r>
      <w:r>
        <w:t xml:space="preserve">	</w:t>
      </w:r>
      <w:r>
        <w:t xml:space="preserve">Maley, J. H., Wanis, K. N., Young, J. G. &amp; Celi, L. A. Mortality prediction models, causal effects, and end-of-life decision making in the intensive care unit.</w:t>
      </w:r>
      <w:r>
        <w:t xml:space="preserve"> </w:t>
      </w:r>
      <w:r>
        <w:rPr>
          <w:i/>
          <w:iCs/>
        </w:rPr>
        <w:t xml:space="preserve">BMJ Health Care Inform.</w:t>
      </w:r>
      <w:r>
        <w:t xml:space="preserve"> </w:t>
      </w:r>
      <w:r>
        <w:rPr>
          <w:b/>
          <w:bCs/>
        </w:rPr>
        <w:t xml:space="preserve">27</w:t>
      </w:r>
      <w:r>
        <w:t xml:space="preserve">, e100220 (2020).</w:t>
      </w:r>
    </w:p>
    <w:bookmarkEnd w:id="41"/>
    <w:bookmarkStart w:id="42" w:name="ref-Colunga-Lozano2023-xk"/>
    <w:p>
      <w:pPr>
        <w:pStyle w:val="Bibliography"/>
      </w:pPr>
      <w:r>
        <w:t xml:space="preserve">11.</w:t>
      </w:r>
      <w:r>
        <w:t xml:space="preserve"> </w:t>
      </w:r>
      <w:r>
        <w:t xml:space="preserve">	</w:t>
      </w:r>
      <w:r>
        <w:t xml:space="preserve">Colunga-Lozano, L. E.</w:t>
      </w:r>
      <w:r>
        <w:t xml:space="preserve"> </w:t>
      </w:r>
      <w:r>
        <w:rPr>
          <w:i/>
          <w:iCs/>
        </w:rPr>
        <w:t xml:space="preserve">et al.</w:t>
      </w:r>
      <w:r>
        <w:t xml:space="preserve"> Clinical judgment shows similar and sometimes superior discrimination compared to prognostic clinical prediction models. A systematic review.</w:t>
      </w:r>
      <w:r>
        <w:t xml:space="preserve"> </w:t>
      </w:r>
      <w:r>
        <w:rPr>
          <w:i/>
          <w:iCs/>
        </w:rPr>
        <w:t xml:space="preserve">J. Clin. Epidemiol.</w:t>
      </w:r>
      <w:r>
        <w:t xml:space="preserve"> </w:t>
      </w:r>
      <w:r>
        <w:rPr>
          <w:b/>
          <w:bCs/>
        </w:rPr>
        <w:t xml:space="preserve">165</w:t>
      </w:r>
      <w:r>
        <w:t xml:space="preserve">, 111200 (2023).</w:t>
      </w:r>
    </w:p>
    <w:bookmarkEnd w:id="42"/>
    <w:bookmarkStart w:id="43" w:name="ref-Blythe2022-xw"/>
    <w:p>
      <w:pPr>
        <w:pStyle w:val="Bibliography"/>
      </w:pPr>
      <w:r>
        <w:t xml:space="preserve">12.</w:t>
      </w:r>
      <w:r>
        <w:t xml:space="preserve"> </w:t>
      </w:r>
      <w:r>
        <w:t xml:space="preserve">	</w:t>
      </w:r>
      <w:r>
        <w:t xml:space="preserve">Blythe, R., Parsons, R., White, N. M., Cook, D. &amp; McPhail, S. A scoping review of real-time automated clinical deterioration alerts and evidence of impacts on hospitalised patient outcomes.</w:t>
      </w:r>
      <w:r>
        <w:t xml:space="preserve"> </w:t>
      </w:r>
      <w:r>
        <w:rPr>
          <w:i/>
          <w:iCs/>
        </w:rPr>
        <w:t xml:space="preserve">BMJ Qual. Saf.</w:t>
      </w:r>
      <w:r>
        <w:t xml:space="preserve"> </w:t>
      </w:r>
      <w:r>
        <w:rPr>
          <w:b/>
          <w:bCs/>
        </w:rPr>
        <w:t xml:space="preserve">31</w:t>
      </w:r>
      <w:r>
        <w:t xml:space="preserve">, 725–734 (2022).</w:t>
      </w:r>
    </w:p>
    <w:bookmarkEnd w:id="43"/>
    <w:bookmarkStart w:id="44" w:name="ref-White2023-pl"/>
    <w:p>
      <w:pPr>
        <w:pStyle w:val="Bibliography"/>
      </w:pPr>
      <w:r>
        <w:t xml:space="preserve">13.</w:t>
      </w:r>
      <w:r>
        <w:t xml:space="preserve"> </w:t>
      </w:r>
      <w:r>
        <w:t xml:space="preserve">	</w:t>
      </w:r>
      <w:r>
        <w:t xml:space="preserve">White, N. M.</w:t>
      </w:r>
      <w:r>
        <w:t xml:space="preserve"> </w:t>
      </w:r>
      <w:r>
        <w:rPr>
          <w:i/>
          <w:iCs/>
        </w:rPr>
        <w:t xml:space="preserve">et al.</w:t>
      </w:r>
      <w:r>
        <w:t xml:space="preserve"> Evaluating the costs and consequences of computerized clinical decision support systems in hospitals: A scoping review and recommendations for future practice.</w:t>
      </w:r>
      <w:r>
        <w:t xml:space="preserve"> </w:t>
      </w:r>
      <w:r>
        <w:rPr>
          <w:i/>
          <w:iCs/>
        </w:rPr>
        <w:t xml:space="preserve">J. Am. Med. Inform. Assoc.</w:t>
      </w:r>
      <w:r>
        <w:t xml:space="preserve"> </w:t>
      </w:r>
      <w:r>
        <w:rPr>
          <w:b/>
          <w:bCs/>
        </w:rPr>
        <w:t xml:space="preserve">30</w:t>
      </w:r>
      <w:r>
        <w:t xml:space="preserve">, 1205–1218 (2023).</w:t>
      </w:r>
    </w:p>
    <w:bookmarkEnd w:id="44"/>
    <w:bookmarkStart w:id="45" w:name="ref-Kumar2021-sw"/>
    <w:p>
      <w:pPr>
        <w:pStyle w:val="Bibliography"/>
      </w:pPr>
      <w:r>
        <w:t xml:space="preserve">14.</w:t>
      </w:r>
      <w:r>
        <w:t xml:space="preserve"> </w:t>
      </w:r>
      <w:r>
        <w:t xml:space="preserve">	</w:t>
      </w:r>
      <w:r>
        <w:t xml:space="preserve">Kumar, G. &amp; Maskey, A. Anticoagulation in</w:t>
      </w:r>
      <w:r>
        <w:t xml:space="preserve"> </w:t>
      </w:r>
      <w:r>
        <w:t xml:space="preserve">ECMO</w:t>
      </w:r>
      <w:r>
        <w:t xml:space="preserve"> </w:t>
      </w:r>
      <w:r>
        <w:t xml:space="preserve">patients: An overview.</w:t>
      </w:r>
      <w:r>
        <w:t xml:space="preserve"> </w:t>
      </w:r>
      <w:r>
        <w:rPr>
          <w:i/>
          <w:iCs/>
        </w:rPr>
        <w:t xml:space="preserve">Indian J. Thorac. Cardiovasc. Surg.</w:t>
      </w:r>
      <w:r>
        <w:t xml:space="preserve"> </w:t>
      </w:r>
      <w:r>
        <w:rPr>
          <w:b/>
          <w:bCs/>
        </w:rPr>
        <w:t xml:space="preserve">37</w:t>
      </w:r>
      <w:r>
        <w:t xml:space="preserve">, 241–247 (2021).</w:t>
      </w:r>
    </w:p>
    <w:bookmarkEnd w:id="45"/>
    <w:bookmarkStart w:id="46" w:name="ref-Koster2019-zb"/>
    <w:p>
      <w:pPr>
        <w:pStyle w:val="Bibliography"/>
      </w:pPr>
      <w:r>
        <w:t xml:space="preserve">15.</w:t>
      </w:r>
      <w:r>
        <w:t xml:space="preserve"> </w:t>
      </w:r>
      <w:r>
        <w:t xml:space="preserve">	</w:t>
      </w:r>
      <w:r>
        <w:t xml:space="preserve">Koster, A., Ljajikj, E. &amp; Faraoni, D. Traditional and non-traditional anticoagulation management during extracorporeal membrane oxygenation.</w:t>
      </w:r>
      <w:r>
        <w:t xml:space="preserve"> </w:t>
      </w:r>
      <w:r>
        <w:rPr>
          <w:i/>
          <w:iCs/>
        </w:rPr>
        <w:t xml:space="preserve">Ann. Cardiothorac. Surg.</w:t>
      </w:r>
      <w:r>
        <w:t xml:space="preserve"> </w:t>
      </w:r>
      <w:r>
        <w:rPr>
          <w:b/>
          <w:bCs/>
        </w:rPr>
        <w:t xml:space="preserve">8</w:t>
      </w:r>
      <w:r>
        <w:t xml:space="preserve">, 129–136 (2019).</w:t>
      </w:r>
    </w:p>
    <w:bookmarkEnd w:id="46"/>
    <w:bookmarkStart w:id="47" w:name="ref-Martucci2024-ow"/>
    <w:p>
      <w:pPr>
        <w:pStyle w:val="Bibliography"/>
      </w:pPr>
      <w:r>
        <w:t xml:space="preserve">16.</w:t>
      </w:r>
      <w:r>
        <w:t xml:space="preserve"> </w:t>
      </w:r>
      <w:r>
        <w:t xml:space="preserve">	</w:t>
      </w:r>
      <w:r>
        <w:t xml:space="preserve">Martucci, G.</w:t>
      </w:r>
      <w:r>
        <w:t xml:space="preserve"> </w:t>
      </w:r>
      <w:r>
        <w:rPr>
          <w:i/>
          <w:iCs/>
        </w:rPr>
        <w:t xml:space="preserve">et al.</w:t>
      </w:r>
      <w:r>
        <w:t xml:space="preserve"> Anticoagulation and bleeding during veno-venous extracorporeal membrane oxygenation: Insights from the</w:t>
      </w:r>
      <w:r>
        <w:t xml:space="preserve"> </w:t>
      </w:r>
      <w:r>
        <w:t xml:space="preserve">PROTECMO</w:t>
      </w:r>
      <w:r>
        <w:t xml:space="preserve"> </w:t>
      </w:r>
      <w:r>
        <w:t xml:space="preserve">study.</w:t>
      </w:r>
      <w:r>
        <w:t xml:space="preserve"> </w:t>
      </w:r>
      <w:r>
        <w:rPr>
          <w:i/>
          <w:iCs/>
        </w:rPr>
        <w:t xml:space="preserve">Am. J. Respir. Crit. Care Med.</w:t>
      </w:r>
      <w:r>
        <w:t xml:space="preserve"> </w:t>
      </w:r>
      <w:r>
        <w:rPr>
          <w:b/>
          <w:bCs/>
        </w:rPr>
        <w:t xml:space="preserve">209</w:t>
      </w:r>
      <w:r>
        <w:t xml:space="preserve">, 417–426 (2024).</w:t>
      </w:r>
    </w:p>
    <w:bookmarkEnd w:id="47"/>
    <w:bookmarkStart w:id="48" w:name="ref-Hernan2016-nv"/>
    <w:p>
      <w:pPr>
        <w:pStyle w:val="Bibliography"/>
      </w:pPr>
      <w:r>
        <w:t xml:space="preserve">17.</w:t>
      </w:r>
      <w:r>
        <w:t xml:space="preserve"> </w:t>
      </w:r>
      <w:r>
        <w:t xml:space="preserve">	</w:t>
      </w:r>
      <w:r>
        <w:t xml:space="preserve">Hernán, M. A. &amp; Robins, J. M. Using big data to emulate a target trial when a randomized trial is not available.</w:t>
      </w:r>
      <w:r>
        <w:t xml:space="preserve"> </w:t>
      </w:r>
      <w:r>
        <w:rPr>
          <w:i/>
          <w:iCs/>
        </w:rPr>
        <w:t xml:space="preserve">Am. J. Epidemiol.</w:t>
      </w:r>
      <w:r>
        <w:t xml:space="preserve"> </w:t>
      </w:r>
      <w:r>
        <w:rPr>
          <w:b/>
          <w:bCs/>
        </w:rPr>
        <w:t xml:space="preserve">183</w:t>
      </w:r>
      <w:r>
        <w:t xml:space="preserve">, 758–764 (2016).</w:t>
      </w:r>
    </w:p>
    <w:bookmarkEnd w:id="48"/>
    <w:bookmarkStart w:id="49" w:name="ref-Hubbard2024-tq"/>
    <w:p>
      <w:pPr>
        <w:pStyle w:val="Bibliography"/>
      </w:pPr>
      <w:r>
        <w:t xml:space="preserve">18.</w:t>
      </w:r>
      <w:r>
        <w:t xml:space="preserve"> </w:t>
      </w:r>
      <w:r>
        <w:t xml:space="preserve">	</w:t>
      </w:r>
      <w:r>
        <w:t xml:space="preserve">Hubbard, R. A.</w:t>
      </w:r>
      <w:r>
        <w:t xml:space="preserve"> </w:t>
      </w:r>
      <w:r>
        <w:rPr>
          <w:i/>
          <w:iCs/>
        </w:rPr>
        <w:t xml:space="preserve">et al.</w:t>
      </w:r>
      <w:r>
        <w:t xml:space="preserve"> </w:t>
      </w:r>
      <w:r>
        <w:t xml:space="preserve">‘Target trial emulation’</w:t>
      </w:r>
      <w:r>
        <w:t xml:space="preserve"> </w:t>
      </w:r>
      <w:r>
        <w:t xml:space="preserve">for observational studies - potential and pitfalls.</w:t>
      </w:r>
      <w:r>
        <w:t xml:space="preserve"> </w:t>
      </w:r>
      <w:r>
        <w:rPr>
          <w:i/>
          <w:iCs/>
        </w:rPr>
        <w:t xml:space="preserve">N. Engl. J. Med.</w:t>
      </w:r>
      <w:r>
        <w:t xml:space="preserve"> </w:t>
      </w:r>
      <w:r>
        <w:rPr>
          <w:b/>
          <w:bCs/>
        </w:rPr>
        <w:t xml:space="preserve">391</w:t>
      </w:r>
      <w:r>
        <w:t xml:space="preserve">, 1975–1977 (2024).</w:t>
      </w:r>
    </w:p>
    <w:bookmarkEnd w:id="49"/>
    <w:bookmarkStart w:id="50" w:name="ref-Robins2000-jd"/>
    <w:p>
      <w:pPr>
        <w:pStyle w:val="Bibliography"/>
      </w:pPr>
      <w:r>
        <w:t xml:space="preserve">19.</w:t>
      </w:r>
      <w:r>
        <w:t xml:space="preserve"> </w:t>
      </w:r>
      <w:r>
        <w:t xml:space="preserve">	</w:t>
      </w:r>
      <w:r>
        <w:t xml:space="preserve">Robins, J. M., Hernán, M. A. &amp; Brumback, B. Marginal structural models and causal inference in epidemiology.</w:t>
      </w:r>
      <w:r>
        <w:t xml:space="preserve"> </w:t>
      </w:r>
      <w:r>
        <w:rPr>
          <w:i/>
          <w:iCs/>
        </w:rPr>
        <w:t xml:space="preserve">Epidemiology</w:t>
      </w:r>
      <w:r>
        <w:t xml:space="preserve"> </w:t>
      </w:r>
      <w:r>
        <w:rPr>
          <w:b/>
          <w:bCs/>
        </w:rPr>
        <w:t xml:space="preserve">11</w:t>
      </w:r>
      <w:r>
        <w:t xml:space="preserve">, 550–560 (2000).</w:t>
      </w:r>
    </w:p>
    <w:bookmarkEnd w:id="50"/>
    <w:bookmarkStart w:id="51" w:name="ref-Wong2021-rf"/>
    <w:p>
      <w:pPr>
        <w:pStyle w:val="Bibliography"/>
      </w:pPr>
      <w:r>
        <w:t xml:space="preserve">20.</w:t>
      </w:r>
      <w:r>
        <w:t xml:space="preserve"> </w:t>
      </w:r>
      <w:r>
        <w:t xml:space="preserve">	</w:t>
      </w:r>
      <w:r>
        <w:t xml:space="preserve">Wong, A.</w:t>
      </w:r>
      <w:r>
        <w:t xml:space="preserve"> </w:t>
      </w:r>
      <w:r>
        <w:rPr>
          <w:i/>
          <w:iCs/>
        </w:rPr>
        <w:t xml:space="preserve">et al.</w:t>
      </w:r>
      <w:r>
        <w:t xml:space="preserve"> External validation of a widely implemented proprietary sepsis prediction model in hospitalized patients.</w:t>
      </w:r>
      <w:r>
        <w:t xml:space="preserve"> </w:t>
      </w:r>
      <w:r>
        <w:rPr>
          <w:i/>
          <w:iCs/>
        </w:rPr>
        <w:t xml:space="preserve">JAMA Intern. Med.</w:t>
      </w:r>
      <w:r>
        <w:t xml:space="preserve"> </w:t>
      </w:r>
      <w:r>
        <w:rPr>
          <w:b/>
          <w:bCs/>
        </w:rPr>
        <w:t xml:space="preserve">181</w:t>
      </w:r>
      <w:r>
        <w:t xml:space="preserve">, 1065–1070 (2021).</w:t>
      </w:r>
    </w:p>
    <w:bookmarkEnd w:id="51"/>
    <w:bookmarkStart w:id="52" w:name="ref-Wijnberge2020-oi"/>
    <w:p>
      <w:pPr>
        <w:pStyle w:val="Bibliography"/>
      </w:pPr>
      <w:r>
        <w:t xml:space="preserve">21.</w:t>
      </w:r>
      <w:r>
        <w:t xml:space="preserve"> </w:t>
      </w:r>
      <w:r>
        <w:t xml:space="preserve">	</w:t>
      </w:r>
      <w:r>
        <w:t xml:space="preserve">Wijnberge, M.</w:t>
      </w:r>
      <w:r>
        <w:t xml:space="preserve"> </w:t>
      </w:r>
      <w:r>
        <w:rPr>
          <w:i/>
          <w:iCs/>
        </w:rPr>
        <w:t xml:space="preserve">et al.</w:t>
      </w:r>
      <w:r>
        <w:t xml:space="preserve"> Effect of a machine learning-derived early warning system for intraoperative hypotension vs standard care on depth and duration of intraoperative hypotension during elective noncardiac surgery: The</w:t>
      </w:r>
      <w:r>
        <w:t xml:space="preserve"> </w:t>
      </w:r>
      <w:r>
        <w:t xml:space="preserve">HYPE</w:t>
      </w:r>
      <w:r>
        <w:t xml:space="preserve"> </w:t>
      </w:r>
      <w:r>
        <w:t xml:space="preserve">randomized clinical trial: The</w:t>
      </w:r>
      <w:r>
        <w:t xml:space="preserve"> </w:t>
      </w:r>
      <w:r>
        <w:t xml:space="preserve">HYPE</w:t>
      </w:r>
      <w:r>
        <w:t xml:space="preserve"> </w:t>
      </w:r>
      <w:r>
        <w:t xml:space="preserve">randomized clinical trial.</w:t>
      </w:r>
      <w:r>
        <w:t xml:space="preserve"> </w:t>
      </w:r>
      <w:r>
        <w:rPr>
          <w:i/>
          <w:iCs/>
        </w:rPr>
        <w:t xml:space="preserve">JAMA</w:t>
      </w:r>
      <w:r>
        <w:t xml:space="preserve"> </w:t>
      </w:r>
      <w:r>
        <w:rPr>
          <w:b/>
          <w:bCs/>
        </w:rPr>
        <w:t xml:space="preserve">323</w:t>
      </w:r>
      <w:r>
        <w:t xml:space="preserve">, 1052–1060 (2020).</w:t>
      </w:r>
    </w:p>
    <w:bookmarkEnd w:id="52"/>
    <w:bookmarkStart w:id="53" w:name="ref-Adams2022-nt"/>
    <w:p>
      <w:pPr>
        <w:pStyle w:val="Bibliography"/>
      </w:pPr>
      <w:r>
        <w:t xml:space="preserve">22.</w:t>
      </w:r>
      <w:r>
        <w:t xml:space="preserve"> </w:t>
      </w:r>
      <w:r>
        <w:t xml:space="preserve">	</w:t>
      </w:r>
      <w:r>
        <w:t xml:space="preserve">Adams, R.</w:t>
      </w:r>
      <w:r>
        <w:t xml:space="preserve"> </w:t>
      </w:r>
      <w:r>
        <w:rPr>
          <w:i/>
          <w:iCs/>
        </w:rPr>
        <w:t xml:space="preserve">et al.</w:t>
      </w:r>
      <w:r>
        <w:t xml:space="preserve"> Prospective, multi-site study of patient outcomes after implementation of the</w:t>
      </w:r>
      <w:r>
        <w:t xml:space="preserve"> </w:t>
      </w:r>
      <w:r>
        <w:t xml:space="preserve">TREWS</w:t>
      </w:r>
      <w:r>
        <w:t xml:space="preserve"> </w:t>
      </w:r>
      <w:r>
        <w:t xml:space="preserve">machine learning-based early warning system for sepsis.</w:t>
      </w:r>
      <w:r>
        <w:t xml:space="preserve"> </w:t>
      </w:r>
      <w:r>
        <w:rPr>
          <w:i/>
          <w:iCs/>
        </w:rPr>
        <w:t xml:space="preserve">Nat. Med.</w:t>
      </w:r>
      <w:r>
        <w:t xml:space="preserve"> </w:t>
      </w:r>
      <w:r>
        <w:rPr>
          <w:b/>
          <w:bCs/>
        </w:rPr>
        <w:t xml:space="preserve">28</w:t>
      </w:r>
      <w:r>
        <w:t xml:space="preserve">, 1455–1460 (2022).</w:t>
      </w:r>
    </w:p>
    <w:bookmarkEnd w:id="53"/>
    <w:bookmarkStart w:id="54" w:name="ref-Sendak2020-eh"/>
    <w:p>
      <w:pPr>
        <w:pStyle w:val="Bibliography"/>
      </w:pPr>
      <w:r>
        <w:t xml:space="preserve">23.</w:t>
      </w:r>
      <w:r>
        <w:t xml:space="preserve"> </w:t>
      </w:r>
      <w:r>
        <w:t xml:space="preserve">	</w:t>
      </w:r>
      <w:r>
        <w:t xml:space="preserve">Sendak, M. P.</w:t>
      </w:r>
      <w:r>
        <w:t xml:space="preserve"> </w:t>
      </w:r>
      <w:r>
        <w:rPr>
          <w:i/>
          <w:iCs/>
        </w:rPr>
        <w:t xml:space="preserve">et al.</w:t>
      </w:r>
      <w:r>
        <w:t xml:space="preserve"> Real-world integration of a sepsis deep learning technology into routine clinical care: Implementation study.</w:t>
      </w:r>
      <w:r>
        <w:t xml:space="preserve"> </w:t>
      </w:r>
      <w:r>
        <w:rPr>
          <w:i/>
          <w:iCs/>
        </w:rPr>
        <w:t xml:space="preserve">JMIR Med. Inform.</w:t>
      </w:r>
      <w:r>
        <w:t xml:space="preserve"> </w:t>
      </w:r>
      <w:r>
        <w:rPr>
          <w:b/>
          <w:bCs/>
        </w:rPr>
        <w:t xml:space="preserve">8</w:t>
      </w:r>
      <w:r>
        <w:t xml:space="preserve">, e15182 (2020).</w:t>
      </w:r>
    </w:p>
    <w:bookmarkEnd w:id="54"/>
    <w:bookmarkStart w:id="55" w:name="ref-Vasey2022-wz"/>
    <w:p>
      <w:pPr>
        <w:pStyle w:val="Bibliography"/>
      </w:pPr>
      <w:r>
        <w:t xml:space="preserve">24.</w:t>
      </w:r>
      <w:r>
        <w:t xml:space="preserve"> </w:t>
      </w:r>
      <w:r>
        <w:t xml:space="preserve">	</w:t>
      </w:r>
      <w:r>
        <w:t xml:space="preserve">Vasey, B.</w:t>
      </w:r>
      <w:r>
        <w:t xml:space="preserve"> </w:t>
      </w:r>
      <w:r>
        <w:rPr>
          <w:i/>
          <w:iCs/>
        </w:rPr>
        <w:t xml:space="preserve">et al.</w:t>
      </w:r>
      <w:r>
        <w:t xml:space="preserve"> Reporting guideline for the early stage clinical evaluation of decision support systems driven by artificial intelligence:</w:t>
      </w:r>
      <w:r>
        <w:t xml:space="preserve"> </w:t>
      </w:r>
      <w:r>
        <w:t xml:space="preserve">DECIDE</w:t>
      </w:r>
      <w:r>
        <w:t xml:space="preserve">-</w:t>
      </w:r>
      <w:r>
        <w:t xml:space="preserve">AI</w:t>
      </w:r>
      <w:r>
        <w:t xml:space="preserve">.</w:t>
      </w:r>
      <w:r>
        <w:t xml:space="preserve"> </w:t>
      </w:r>
      <w:r>
        <w:rPr>
          <w:i/>
          <w:iCs/>
        </w:rPr>
        <w:t xml:space="preserve">BMJ</w:t>
      </w:r>
      <w:r>
        <w:t xml:space="preserve"> </w:t>
      </w:r>
      <w:r>
        <w:rPr>
          <w:b/>
          <w:bCs/>
        </w:rPr>
        <w:t xml:space="preserve">377</w:t>
      </w:r>
      <w:r>
        <w:t xml:space="preserve">, e070904 (2022).</w:t>
      </w:r>
    </w:p>
    <w:bookmarkEnd w:id="55"/>
    <w:bookmarkStart w:id="56" w:name="ref-Collins2024-fg"/>
    <w:p>
      <w:pPr>
        <w:pStyle w:val="Bibliography"/>
      </w:pPr>
      <w:r>
        <w:t xml:space="preserve">25.</w:t>
      </w:r>
      <w:r>
        <w:t xml:space="preserve"> </w:t>
      </w:r>
      <w:r>
        <w:t xml:space="preserve">	</w:t>
      </w:r>
      <w:r>
        <w:t xml:space="preserve">Collins, G. S.</w:t>
      </w:r>
      <w:r>
        <w:t xml:space="preserve"> </w:t>
      </w:r>
      <w:r>
        <w:rPr>
          <w:i/>
          <w:iCs/>
        </w:rPr>
        <w:t xml:space="preserve">et al.</w:t>
      </w:r>
      <w:r>
        <w:t xml:space="preserve"> </w:t>
      </w:r>
      <w:r>
        <w:t xml:space="preserve">TRIPOD+AI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 </w:t>
      </w:r>
      <w:r>
        <w:rPr>
          <w:b/>
          <w:bCs/>
        </w:rPr>
        <w:t xml:space="preserve">385</w:t>
      </w:r>
      <w:r>
        <w:t xml:space="preserve">, e078378 (2024).</w:t>
      </w:r>
    </w:p>
    <w:bookmarkEnd w:id="56"/>
    <w:bookmarkStart w:id="57" w:name="ref-Janse2024-js"/>
    <w:p>
      <w:pPr>
        <w:pStyle w:val="Bibliography"/>
      </w:pPr>
      <w:r>
        <w:t xml:space="preserve">26.</w:t>
      </w:r>
      <w:r>
        <w:t xml:space="preserve"> </w:t>
      </w:r>
      <w:r>
        <w:t xml:space="preserve">	</w:t>
      </w:r>
      <w:r>
        <w:t xml:space="preserve">Janse, R. J.</w:t>
      </w:r>
      <w:r>
        <w:t xml:space="preserve"> </w:t>
      </w:r>
      <w:r>
        <w:rPr>
          <w:i/>
          <w:iCs/>
        </w:rPr>
        <w:t xml:space="preserve">et al.</w:t>
      </w:r>
      <w:r>
        <w:t xml:space="preserve"> When impact trials are not feasible: Alternatives to study the impact of prediction models on clinical practice.</w:t>
      </w:r>
      <w:r>
        <w:t xml:space="preserve"> </w:t>
      </w:r>
      <w:r>
        <w:rPr>
          <w:i/>
          <w:iCs/>
        </w:rPr>
        <w:t xml:space="preserve">Nephrol. Dial. Transplant</w:t>
      </w:r>
      <w:r>
        <w:t xml:space="preserve"> </w:t>
      </w:r>
      <w:r>
        <w:rPr>
          <w:b/>
          <w:bCs/>
        </w:rPr>
        <w:t xml:space="preserve">40</w:t>
      </w:r>
      <w:r>
        <w:t xml:space="preserve">, 27–33 (2024).</w:t>
      </w:r>
    </w:p>
    <w:bookmarkEnd w:id="57"/>
    <w:bookmarkStart w:id="58" w:name="ref-Wanis2023-yr"/>
    <w:p>
      <w:pPr>
        <w:pStyle w:val="Bibliography"/>
      </w:pPr>
      <w:r>
        <w:t xml:space="preserve">27.</w:t>
      </w:r>
      <w:r>
        <w:t xml:space="preserve"> </w:t>
      </w:r>
      <w:r>
        <w:t xml:space="preserve">	</w:t>
      </w:r>
      <w:r>
        <w:t xml:space="preserve">Wanis, K. N.</w:t>
      </w:r>
      <w:r>
        <w:t xml:space="preserve"> </w:t>
      </w:r>
      <w:r>
        <w:rPr>
          <w:i/>
          <w:iCs/>
        </w:rPr>
        <w:t xml:space="preserve">et al.</w:t>
      </w:r>
      <w:r>
        <w:t xml:space="preserve"> Emulating target trials comparing early and delayed intubation strategies.</w:t>
      </w:r>
      <w:r>
        <w:t xml:space="preserve"> </w:t>
      </w:r>
      <w:r>
        <w:rPr>
          <w:i/>
          <w:iCs/>
        </w:rPr>
        <w:t xml:space="preserve">Chest</w:t>
      </w:r>
      <w:r>
        <w:t xml:space="preserve"> </w:t>
      </w:r>
      <w:r>
        <w:rPr>
          <w:b/>
          <w:bCs/>
        </w:rPr>
        <w:t xml:space="preserve">164</w:t>
      </w:r>
      <w:r>
        <w:t xml:space="preserve">, 885–891 (2023).</w:t>
      </w:r>
    </w:p>
    <w:bookmarkEnd w:id="58"/>
    <w:bookmarkStart w:id="59" w:name="ref-Moukheiber2025-ga"/>
    <w:p>
      <w:pPr>
        <w:pStyle w:val="Bibliography"/>
      </w:pPr>
      <w:r>
        <w:t xml:space="preserve">28.</w:t>
      </w:r>
      <w:r>
        <w:t xml:space="preserve"> </w:t>
      </w:r>
      <w:r>
        <w:t xml:space="preserve">	</w:t>
      </w:r>
      <w:r>
        <w:t xml:space="preserve">Moukheiber, M.</w:t>
      </w:r>
      <w:r>
        <w:t xml:space="preserve"> </w:t>
      </w:r>
      <w:r>
        <w:rPr>
          <w:i/>
          <w:iCs/>
        </w:rPr>
        <w:t xml:space="preserve">et al.</w:t>
      </w:r>
      <w:r>
        <w:t xml:space="preserve"> A temporal dataset for respiratory support in critically ill patients.</w:t>
      </w:r>
      <w:r>
        <w:t xml:space="preserve"> </w:t>
      </w:r>
      <w:r>
        <w:rPr>
          <w:i/>
          <w:iCs/>
        </w:rPr>
        <w:t xml:space="preserve">PhysioNet</w:t>
      </w:r>
      <w:r>
        <w:t xml:space="preserve"> </w:t>
      </w:r>
      <w:r>
        <w:t xml:space="preserve">(2025).</w:t>
      </w:r>
    </w:p>
    <w:bookmarkEnd w:id="59"/>
    <w:bookmarkStart w:id="60" w:name="ref-van-der-Laan2007-me"/>
    <w:p>
      <w:pPr>
        <w:pStyle w:val="Bibliography"/>
      </w:pPr>
      <w:r>
        <w:t xml:space="preserve">29.</w:t>
      </w:r>
      <w:r>
        <w:t xml:space="preserve"> </w:t>
      </w:r>
      <w:r>
        <w:t xml:space="preserve">	</w:t>
      </w:r>
      <w:r>
        <w:t xml:space="preserve">Laan, M. J. van der, Polley, E. C. &amp; Hubbard, A. E. Super learner.</w:t>
      </w:r>
      <w:r>
        <w:t xml:space="preserve"> </w:t>
      </w:r>
      <w:r>
        <w:rPr>
          <w:i/>
          <w:iCs/>
        </w:rPr>
        <w:t xml:space="preserve">Stat. Appl. Genet. Mol. Biol.</w:t>
      </w:r>
      <w:r>
        <w:t xml:space="preserve"> </w:t>
      </w:r>
      <w:r>
        <w:rPr>
          <w:b/>
          <w:bCs/>
        </w:rPr>
        <w:t xml:space="preserve">6</w:t>
      </w:r>
      <w:r>
        <w:t xml:space="preserve">, Article25 (2007).</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0" w:line="480" w:lineRule="auto"/>
      </w:pPr>
    </w:pPrDefault>
  </w:docDefaults>
  <w:latentStyles w:count="276" w:defLockedState="0" w:defQFormat="0" w:defSemiHidden="0" w:defUIPriority="0" w:defUnhideWhenUsed="0"/>
  <w:style w:default="1" w:styleId="Normal" w:type="paragraph">
    <w:name w:val="Normal"/>
    <w:qFormat/>
    <w:pPr>
      <w:spacing w:after="0" w:before="0" w:line="480" w:lineRule="auto"/>
    </w:pPr>
  </w:style>
  <w:style w:styleId="BodyText" w:type="paragraph">
    <w:name w:val="Body Text"/>
    <w:basedOn w:val="Normal"/>
    <w:link w:val="BodyTextChar"/>
    <w:qFormat/>
    <w:pPr>
      <w:spacing w:after="0" w:before="0" w:line="480" w:lineRule="auto"/>
    </w:pPr>
  </w:style>
  <w:style w:customStyle="1" w:styleId="FirstParagraph" w:type="paragraph">
    <w:name w:val="First Paragraph"/>
    <w:basedOn w:val="BodyText"/>
    <w:next w:val="BodyText"/>
    <w:qFormat/>
    <w:pPr>
      <w:spacing w:after="0" w:before="0" w:line="480" w:lineRule="auto"/>
    </w:pPr>
  </w:style>
  <w:style w:customStyle="1" w:styleId="Compact" w:type="paragraph">
    <w:name w:val="Compact"/>
    <w:basedOn w:val="BodyText"/>
    <w:qFormat/>
    <w:pPr>
      <w:spacing w:after="0" w:before="0" w:line="48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480" w:lineRule="auto"/>
    </w:pPr>
    <w:rPr/>
  </w:style>
  <w:style w:styleId="Heading1" w:type="paragraph">
    <w:name w:val="heading 1"/>
    <w:basedOn w:val="Normal"/>
    <w:next w:val="BodyText"/>
    <w:link w:val="Heading1Char"/>
    <w:uiPriority w:val="9"/>
    <w:qFormat/>
    <w:rsid w:val="00A10FD9"/>
    <w:pPr>
      <w:keepNext/>
      <w:keepLines/>
      <w:outlineLvl w:val="0"/>
      <w:spacing w:after="0" w:before="0" w:line="480" w:lineRule="auto"/>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outlineLvl w:val="1"/>
      <w:spacing w:after="0" w:before="0" w:line="480" w:lineRule="auto"/>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2026-05-10T20:14:15Z</dcterms:created>
  <dcterms:modified xsi:type="dcterms:W3CDTF">2026-05-10T20:14:15Z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G:/マイドライブ/paperpile.bib</vt:lpwstr>
  </property>
  <property fmtid="{D5CDD505-2E9C-101B-9397-08002B2CF9AE}" pid="4" name="csl">
    <vt:lpwstr>nature.csl</vt:lpwstr>
  </property>
  <property fmtid="{D5CDD505-2E9C-101B-9397-08002B2CF9AE}" pid="5" name="fig-cap-location">
    <vt:lpwstr>bottom</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True</vt:lpwstr>
  </property>
  <property fmtid="{D5CDD505-2E9C-101B-9397-08002B2CF9AE}" pid="11" name="tbl-cap-location">
    <vt:lpwstr>top</vt:lpwstr>
  </property>
  <property fmtid="{D5CDD505-2E9C-101B-9397-08002B2CF9AE}" pid="12" name="toc-title">
    <vt:lpwstr>Table of contents</vt:lpwstr>
  </property>
</Properties>
</file>