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D52B5">
      <w:pPr>
        <w:pStyle w:val="31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6"/>
          <w:szCs w:val="24"/>
        </w:rPr>
        <w:t>AI+跨境黑客松巅峰赛 · 复赛作品提交模板</w:t>
      </w:r>
    </w:p>
    <w:p w14:paraId="69D6AA85">
      <w:pPr>
        <w:jc w:val="center"/>
      </w:pPr>
      <w:r>
        <w:rPr>
          <w:rFonts w:hint="eastAsia" w:ascii="Times New Roman" w:hAnsi="Times New Roman" w:eastAsia="宋体"/>
          <w:b w:val="0"/>
          <w:color w:val="808080"/>
          <w:sz w:val="20"/>
        </w:rPr>
        <w:t>（团队一人提交即可 · 复赛提交截止：9月1</w:t>
      </w:r>
      <w:r>
        <w:rPr>
          <w:rFonts w:hint="eastAsia"/>
          <w:b w:val="0"/>
          <w:color w:val="808080"/>
          <w:sz w:val="20"/>
          <w:lang w:val="en-US" w:eastAsia="zh-CN"/>
        </w:rPr>
        <w:t>5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日）</w:t>
      </w:r>
    </w:p>
    <w:p w14:paraId="0F01CCDE">
      <w:r>
        <w:t>————————————————————————————————————————</w:t>
      </w:r>
    </w:p>
    <w:p w14:paraId="14521C7F">
      <w:pPr>
        <w:pStyle w:val="3"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提交说明（请先阅读）</w:t>
      </w:r>
    </w:p>
    <w:p w14:paraId="000980C0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本模板使用 Word 编辑，填写完成后请「另存为 PDF 格式」再提交（文件→另存为→选择PDF）。</w:t>
      </w:r>
    </w:p>
    <w:p w14:paraId="444E17A2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PDF 文件命名：团队名_方案名称_复赛作品.pdf（例：凌云队_智能上新助手_复赛作品.pdf）。</w:t>
      </w:r>
    </w:p>
    <w:p w14:paraId="1D8F6D95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提交时请将 PDF 上传至复赛作品提交表单的对应位置，Demo、代码仓库、演示视频等请以链接形式填写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如存在无法提供在线链接的情况也可本地打包提交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3553F0B5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作品需具备可演示的核心功能，证明方案可实现、可使用、具有业务价值。</w:t>
      </w:r>
    </w:p>
    <w:p w14:paraId="55A54A24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如有其他补充材料（测试报告、用户反馈等），可附在文档末尾，一并转存为 PDF。</w:t>
      </w:r>
    </w:p>
    <w:p w14:paraId="75BCF907">
      <w:r>
        <w:t>————————————————————————————————————————</w:t>
      </w:r>
    </w:p>
    <w:p w14:paraId="3A66B5DB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团队信息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4A9CD14">
        <w:tc>
          <w:tcPr>
            <w:tcW w:w="2500" w:type="pct"/>
          </w:tcPr>
          <w:p w14:paraId="73845BBB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团队名称</w:t>
            </w:r>
          </w:p>
        </w:tc>
        <w:tc>
          <w:tcPr>
            <w:tcW w:w="2500" w:type="pct"/>
          </w:tcPr>
          <w:p w14:paraId="309B0BF3">
            <w:pPr>
              <w:spacing w:after="0" w:line="240" w:lineRule="auto"/>
            </w:pPr>
            <w:r>
              <w:t>破界AI</w:t>
            </w:r>
          </w:p>
        </w:tc>
      </w:tr>
      <w:tr w14:paraId="1951E031">
        <w:tc>
          <w:tcPr>
            <w:tcW w:w="2500" w:type="pct"/>
          </w:tcPr>
          <w:p w14:paraId="129129A4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队长姓名</w:t>
            </w:r>
          </w:p>
        </w:tc>
        <w:tc>
          <w:tcPr>
            <w:tcW w:w="2500" w:type="pct"/>
          </w:tcPr>
          <w:p w14:paraId="29BA7B38">
            <w:pPr>
              <w:spacing w:after="0" w:line="240" w:lineRule="auto"/>
            </w:pPr>
            <w:r>
              <w:t>李帅帅</w:t>
            </w:r>
          </w:p>
        </w:tc>
      </w:tr>
      <w:tr w14:paraId="78D81CE9">
        <w:tc>
          <w:tcPr>
            <w:tcW w:w="2500" w:type="pct"/>
          </w:tcPr>
          <w:p w14:paraId="1C338309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联系电话</w:t>
            </w:r>
          </w:p>
        </w:tc>
        <w:tc>
          <w:tcPr>
            <w:tcW w:w="2500" w:type="pct"/>
          </w:tcPr>
          <w:p w14:paraId="71EED882">
            <w:pPr>
              <w:spacing w:after="0" w:line="240" w:lineRule="auto"/>
            </w:pPr>
            <w:r>
              <w:t>13546777571</w:t>
            </w:r>
          </w:p>
        </w:tc>
      </w:tr>
      <w:tr w14:paraId="419232A2">
        <w:tc>
          <w:tcPr>
            <w:tcW w:w="2500" w:type="pct"/>
          </w:tcPr>
          <w:p w14:paraId="557ABE7C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联系邮箱</w:t>
            </w:r>
          </w:p>
        </w:tc>
        <w:tc>
          <w:tcPr>
            <w:tcW w:w="2500" w:type="pct"/>
          </w:tcPr>
          <w:p w14:paraId="3193F0CD">
            <w:pPr>
              <w:spacing w:after="0" w:line="240" w:lineRule="auto"/>
            </w:pPr>
            <w:r>
              <w:t>13546777571@163.com</w:t>
            </w:r>
          </w:p>
        </w:tc>
      </w:tr>
      <w:tr w14:paraId="71A36804">
        <w:tc>
          <w:tcPr>
            <w:tcW w:w="2500" w:type="pct"/>
          </w:tcPr>
          <w:p w14:paraId="39D1349F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全体成员</w:t>
            </w:r>
          </w:p>
        </w:tc>
        <w:tc>
          <w:tcPr>
            <w:tcW w:w="2500" w:type="pct"/>
          </w:tcPr>
          <w:p w14:paraId="4B180750">
            <w:pPr>
              <w:spacing w:after="0" w:line="240" w:lineRule="auto"/>
            </w:pPr>
            <w:r>
              <w:t>李帅帅 / 队长（产品定义、技术实现、合规设计、内容运营，独立完成）</w:t>
            </w:r>
          </w:p>
        </w:tc>
      </w:tr>
    </w:tbl>
    <w:p w14:paraId="28D8F1FE">
      <w:r>
        <w:t>————————————————————————————————————————</w:t>
      </w:r>
    </w:p>
    <w:p w14:paraId="3B39D166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参赛信息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FA200A">
        <w:tc>
          <w:tcPr>
            <w:tcW w:w="2500" w:type="pct"/>
          </w:tcPr>
          <w:p w14:paraId="65AEB2D5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参赛场景</w:t>
            </w:r>
          </w:p>
        </w:tc>
        <w:tc>
          <w:tcPr>
            <w:tcW w:w="2500" w:type="pct"/>
          </w:tcPr>
          <w:p w14:paraId="7F7E7A70">
            <w:pPr>
              <w:spacing w:after="0" w:line="240" w:lineRule="auto"/>
            </w:pPr>
            <w:r>
              <w:t>AI智能营销</w:t>
            </w:r>
          </w:p>
        </w:tc>
      </w:tr>
      <w:tr w14:paraId="2C596BEC">
        <w:tc>
          <w:tcPr>
            <w:tcW w:w="2500" w:type="pct"/>
          </w:tcPr>
          <w:p w14:paraId="4E0E2CF6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方案名称</w:t>
            </w:r>
          </w:p>
        </w:tc>
        <w:tc>
          <w:tcPr>
            <w:tcW w:w="2500" w:type="pct"/>
          </w:tcPr>
          <w:p w14:paraId="7A0A5150">
            <w:pPr>
              <w:spacing w:after="0" w:line="240" w:lineRule="auto"/>
            </w:pPr>
            <w:r>
              <w:t>跨境内容合规引擎</w:t>
            </w:r>
          </w:p>
        </w:tc>
      </w:tr>
      <w:tr w14:paraId="60D7E479">
        <w:tc>
          <w:tcPr>
            <w:tcW w:w="2500" w:type="pct"/>
          </w:tcPr>
          <w:p w14:paraId="30B44E3B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一句话定义</w:t>
            </w:r>
          </w:p>
        </w:tc>
        <w:tc>
          <w:tcPr>
            <w:tcW w:w="2500" w:type="pct"/>
          </w:tcPr>
          <w:p w14:paraId="3CCE16F2">
            <w:pPr>
              <w:spacing w:after="0" w:line="240" w:lineRule="auto"/>
            </w:pPr>
            <w:r>
              <w:t>为出海医疗与消费品企业解决「多语言营销内容产出慢、合规审查看不出问题」的痛点，把单条 6 语种文案的产出从 6.5 小时压到约 3 分钟，并在发布前拦住违规表述。</w:t>
            </w:r>
          </w:p>
        </w:tc>
      </w:tr>
    </w:tbl>
    <w:p w14:paraId="24B1FDA5">
      <w:r>
        <w:t>————————————————————————————————————————</w:t>
      </w:r>
    </w:p>
    <w:p w14:paraId="409919D4">
      <w:pPr>
        <w:pStyle w:val="3"/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业务价值与市场分析</w:t>
      </w:r>
      <w:r>
        <w:rPr>
          <w:rFonts w:hint="eastAsia"/>
        </w:rPr>
        <w:t>（业务侧评审重点）</w:t>
      </w:r>
    </w:p>
    <w:p w14:paraId="6301EA07">
      <w:r>
        <w:rPr>
          <w:rFonts w:hint="eastAsia"/>
        </w:rPr>
        <w:t>本部分是业务侧评审的核心依据，请重点描述方案的商业价值与应用前景，让评委理解你的项目为什么值得做。</w:t>
      </w:r>
    </w:p>
    <w:p w14:paraId="6C36C0AB">
      <w:r>
        <w:rPr>
          <w:rFonts w:hint="eastAsia"/>
          <w:lang w:val="en-US" w:eastAsia="zh-CN"/>
        </w:rPr>
        <w:t>2</w:t>
      </w:r>
      <w:r>
        <w:rPr>
          <w:rFonts w:hint="eastAsia"/>
        </w:rPr>
        <w:t>.1 目标用户与业务痛点</w:t>
      </w:r>
    </w:p>
    <w:p w14:paraId="050094B9">
      <w:r>
        <w:t>目标用户（两类，共用一套引擎）</w:t>
      </w:r>
    </w:p>
    <w:p w14:paraId="050094B9">
      <w:r>
        <w:t>1）医疗健康出海企业——以《某三甲医院儿科住院医师助手》为真实标的：一款已在临床场景运行的儿科病历辅助产品，硬件形态为「智能胸卡 + 热敏打印」，正计划进入东南亚与中东市场。</w:t>
      </w:r>
    </w:p>
    <w:p w14:paraId="050094B9">
      <w:r>
        <w:t>2）跨境消费品出海团队——以户外便携储能电源作为对照品类，用于验证引擎的跨行业通用性。</w:t>
      </w:r>
    </w:p>
    <w:p w14:paraId="050094B9">
      <w:r>
        <w:t>痛点一：多语言内容产出成本高、周期长。我们调研了公开报价与实时挂牌价：医疗专业翻译（TEP）$0.15–0.30/源词，通用翻译 $0.10–0.16/源词，社媒文案 $30–75/帖，落地页文案 $150–500/页，医疗类另需溢价 20%~40%；Fiverr 实时挂牌价区间为 $5 / $10–15 / $25–40 / Vetted Pro $100–140。结论：一条产品文案翻译成 6 个语种（en/ar/id/th/vi/ms），人工约 165 美元、6.5 小时。</w:t>
      </w:r>
    </w:p>
    <w:p w14:paraId="050094B9">
      <w:r>
        <w:t>痛点二：合规审查是人工盲区，且后果严重。阿语、印尼语、泰语、越南语、马来语的绝对化用语，中文母语者无法识别；各国准入与数据主权要求差异极大（印尼 BPOM / 沙特 SFDA / 阿联酋 MOHAP / 欧盟 MDR / 美国 FDA；GDPR / 印尼 PDPA / 中东数据本地化）。医疗类风险更高：一句疗效承诺或「隐私 100% 保障」就可能构成违规宣传。</w:t>
      </w:r>
    </w:p>
    <w:p w14:paraId="050094B9">
      <w:r>
        <w:t>痛点三：阿语等 RTL 语言排版容易出错，人工粘贴常出现方向错乱。</w:t>
      </w:r>
    </w:p>
    <w:p w14:paraId="48A2618A"/>
    <w:p w14:paraId="53FE4094">
      <w:r>
        <w:rPr>
          <w:rFonts w:hint="eastAsia"/>
          <w:lang w:val="en-US" w:eastAsia="zh-CN"/>
        </w:rPr>
        <w:t>2</w:t>
      </w:r>
      <w:r>
        <w:rPr>
          <w:rFonts w:hint="eastAsia"/>
        </w:rPr>
        <w:t>.2 应用场景与使用流程</w:t>
      </w:r>
    </w:p>
    <w:p w14:paraId="354EFED0">
      <w:r>
        <w:t>场景：出海企业拿到一份产品资料（能力清单 + 红线约束），需要在几天内产出面向多个市场的独立站文案、FAQ、SEO 描述与跨境直播脚本。</w:t>
      </w:r>
    </w:p>
    <w:p w14:paraId="354EFED0">
      <w:r>
        <w:t>完整链路（三步，无需写代码）：</w:t>
      </w:r>
    </w:p>
    <w:p w14:paraId="354EFED0">
      <w:r>
        <w:t>1）输入：一份产品 JSON，包含产品能力清单、技术栈、红线约束、目标市场。本方案真实使用了 13 项能力，其中硬件 6 项明确标注为「规划中」，系统不会把规划中说成已实现。</w:t>
      </w:r>
    </w:p>
    <w:p w14:paraId="354EFED0">
      <w:r>
        <w:t>2）生成：引擎按目标语种并行生成「独立站内容包」或「跨境直播脚本」，每个语种经过「生成 → 合规审查 → 改写 → 复审」四步闭环。</w:t>
      </w:r>
    </w:p>
    <w:p w14:paraId="354EFED0">
      <w:r>
        <w:t>3）交付：输出 JSON 交付包（含完整审计留痕）+ 各语种 HTML 页面（阿语自动 RTL 排布）。</w:t>
      </w:r>
    </w:p>
    <w:p w14:paraId="354EFED0">
      <w:r>
        <w:t>命令行入口：site_cli.py --product &lt;产品.json&gt; --langs en,ar,id,th,vi,ms；或 live_cli.py 生成直播脚本。</w:t>
      </w:r>
    </w:p>
    <w:p w14:paraId="29F01891"/>
    <w:p w14:paraId="16FBAD86">
      <w:r>
        <w:rPr>
          <w:rFonts w:hint="eastAsia"/>
          <w:lang w:val="en-US" w:eastAsia="zh-CN"/>
        </w:rPr>
        <w:t>2</w:t>
      </w:r>
      <w:r>
        <w:rPr>
          <w:rFonts w:hint="eastAsia"/>
        </w:rPr>
        <w:t>.3 商业价值与预期效果</w:t>
      </w:r>
    </w:p>
    <w:p w14:paraId="3C3DD11B">
      <w:r>
        <w:t>成本与效率对比（引擎侧为真实实测数据）：</w:t>
      </w:r>
    </w:p>
    <w:p w14:paraId="3C3DD11B">
      <w:r>
        <w:t>· 单条 6 语种文案：人工约 6.5 小时 / 约 165 美元；本引擎约 3 分钟 / API 成本约 0.19 元。</w:t>
      </w:r>
    </w:p>
    <w:p w14:paraId="3C3DD11B">
      <w:r>
        <w:t>· 合规检查：人工依赖经验，小语种基本不可行；本引擎每句过检，命中即改写并复审。</w:t>
      </w:r>
    </w:p>
    <w:p w14:paraId="3C3DD11B">
      <w:r>
        <w:t>· 阿语 RTL 排版：人工易错；本引擎自动 RTL 输出。</w:t>
      </w:r>
    </w:p>
    <w:p w14:paraId="3C3DD11B">
      <w:r>
        <w:t>真实运行记录（可核验）：医疗独立站 6 语种 6/6 全部交付，14 次模型调用，140,866 tokens，API 成本估算 0.1859 元，生成耗时约 170–202 秒；消费品独立站 2/2 交付；医疗直播脚本 3/3；消费直播脚本 3/3。累计真实调用 17 批 87 次 / 833,004 tokens，含失败与重试，全部保留记录。</w:t>
      </w:r>
    </w:p>
    <w:p w14:paraId="3C3DD11B">
      <w:r>
        <w:t>合规能力实证（最核心差异化）：引擎在同一批真实输出中，对同一个词「100%」、同一条正则信号（severity: high），因语境不同判出相反结论——</w:t>
      </w:r>
    </w:p>
    <w:p w14:paraId="3C3DD11B">
      <w:r>
        <w:t>· 阿语「患者数据隐私 100% 保持于本地网络」判违规：隐私无法作绝对承诺，存在语义风险，已改写为「通过本地处理保护」；</w:t>
      </w:r>
    </w:p>
    <w:p w14:paraId="3C3DD11B">
      <w:r>
        <w:t>· 印尼语「数据处理 100% 在本地服务器」判放行：陈述可核实的技术事实，不涉及安全或疗效承诺。</w:t>
      </w:r>
    </w:p>
    <w:p w14:paraId="3C3DD11B">
      <w:r>
        <w:t>这证明它是语境语义裁决，而非关键词黑名单：关键词层只负责捞出可疑句，最终由语义层判断「这句话到底在承诺什么」。纯正则方案在此处必然要么全拦、要么全放，两种都是错的。</w:t>
      </w:r>
    </w:p>
    <w:p w14:paraId="3C3DD11B">
      <w:r>
        <w:t>边界说明（不夸大）：这三分钟是起点不是终点，仍需约 0.3 小时人工复核（母语者校对 + 医生审核临床表述）。我们不替代人，替代的是那 6.5 小时里的重复劳动。</w:t>
      </w:r>
    </w:p>
    <w:p w14:paraId="62F33B5D"/>
    <w:p w14:paraId="6DD64AE4">
      <w:r>
        <w:rPr>
          <w:rFonts w:hint="eastAsia"/>
          <w:lang w:val="en-US" w:eastAsia="zh-CN"/>
        </w:rPr>
        <w:t>2</w:t>
      </w:r>
      <w:r>
        <w:rPr>
          <w:rFonts w:hint="eastAsia"/>
        </w:rPr>
        <w:t>.4 市场前景与落地可行性</w:t>
      </w:r>
    </w:p>
    <w:p w14:paraId="66B3A1DF">
      <w:r>
        <w:t>市场规模：中国医疗健康与消费品出海均处于高速增长期，东南亚（印尼/泰国/越南/马来）与中东（沙特/阿联酋）是当前增量最快的两个区域，多语言内容与合规审查是共性刚需。</w:t>
      </w:r>
    </w:p>
    <w:p w14:paraId="66B3A1DF">
      <w:r>
        <w:t>商业模式：</w:t>
      </w:r>
    </w:p>
    <w:p w14:paraId="66B3A1DF">
      <w:r>
        <w:t>1）SaaS 订阅：按语种数 / 内容量分档计费；</w:t>
      </w:r>
    </w:p>
    <w:p w14:paraId="66B3A1DF">
      <w:r>
        <w:t>2）交付式服务：为客户一次性建立本地化内容库（本项目已验证「内容包 + HTML 交付」形态）；</w:t>
      </w:r>
    </w:p>
    <w:p w14:paraId="66B3A1DF">
      <w:r>
        <w:t>3）与硬件/产品捆绑：医疗侧配合《住院医师助手 + 智能胸卡》整体出海。</w:t>
      </w:r>
    </w:p>
    <w:p w14:paraId="66B3A1DF">
      <w:r>
        <w:t>可规模化复制性（已验证）：引擎的核心是「产品 JSON 作输入、合规规则集分行业配置」。实测把医疗产品换成消费品，不写一行新代码，仅替换一份 JSON，输出口吻即从「Local-First Pediatric Clinical Documentation Assistant」切换为消费品文案，合规规则也自动从「临床表述」切换到「价格承诺与虚假客户」。这说明它不是医疗专用模板，而是通用的内容生产线。</w:t>
      </w:r>
    </w:p>
    <w:p w14:paraId="66B3A1DF">
      <w:r>
        <w:t>落地路径：先以医疗出海为差异化切口（合规门槛高、竞争少），再横向复制到消费品品类。</w:t>
      </w:r>
    </w:p>
    <w:p w14:paraId="6FC108D8"/>
    <w:p w14:paraId="1FF2043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产品功能与使用说明</w:t>
      </w:r>
    </w:p>
    <w:p w14:paraId="1FAEDF2E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产品简介</w:t>
      </w:r>
    </w:p>
    <w:p w14:paraId="778A59D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跨境内容合规引擎是一套面向出海企业的多语言营销内容生产线。用户输入一份产品资料，引擎输出多个语种的独立站文案与跨境直播脚本，并在发布前完成合规审查与自动改写。它解决的是「小语种内容产出慢」与「小语种合规审查没人看得懂」这两个叠加痛点，目标用户是医疗健康与消费品出海企业。</w:t>
      </w:r>
    </w:p>
    <w:p w14:paraId="55AD4EBB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核心功能清单</w:t>
      </w:r>
    </w:p>
    <w:p w14:paraId="089BB0BF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1. 多语言内容生成——单次产出 6 语种（en/ar/id/th/vi/ms）独立站内容包，覆盖 hero / 受众 / 方案 / 能力 / 证据 / 合规 / FAQ / CTA / SEO / 声明。</w:t>
      </w:r>
    </w:p>
    <w:p w14:paraId="6C9DCF6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2. 双合规门禁——营销文案合规（绝对化用语、疗效承诺、免责声明）+ 产品准入与数据主权（BPOM / SFDA / MOHAP / MDR / FDA、GDPR / 印尼 PDPA / 中东数据本地化）。</w:t>
      </w:r>
    </w:p>
    <w:p w14:paraId="4FBA7A1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3. 语境语义裁决——正则层只做召回，语义层做判定；同一个「100%」在不同语境可分别判违规与放行。</w:t>
      </w:r>
    </w:p>
    <w:p w14:paraId="27A6F3AF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使用说明</w:t>
      </w:r>
    </w:p>
    <w:p w14:paraId="09BAEC9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环境：Windows / Python 3.14；依赖见 requirements.txt（openai、pyyaml、jsonschema、streamlit）。</w:t>
      </w:r>
    </w:p>
    <w:p w14:paraId="09BAEC9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运行独立站内容包：python site_cli.py --product samples/product_medical_appliance.json --langs en,ar,id,th,vi,ms</w:t>
      </w:r>
    </w:p>
    <w:p w14:paraId="09BAEC9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运行跨境直播脚本：python live_cli.py --product samples/product_medical_appliance.json --langs en,ar,id</w:t>
      </w:r>
    </w:p>
    <w:p w14:paraId="09BAEC9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可视化界面：streamlit run app.py —— 在页面顶部展开「独立站与跨境直播内容包」，可查看交付快照、风险原句/原因/改法对照表，并下载审计记录。</w:t>
      </w:r>
    </w:p>
    <w:p w14:paraId="09BAEC9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消费品对照：把 --product 换成 samples/product_consumer_demo.json 即可，无需改代码。</w:t>
      </w:r>
    </w:p>
    <w:p w14:paraId="2DF0A6CC">
      <w:r>
        <w:t>————————————————————————————————————————</w:t>
      </w:r>
    </w:p>
    <w:p w14:paraId="2E968BA9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技术架构及调用模型说明</w:t>
      </w:r>
    </w:p>
    <w:p w14:paraId="2C0ACC02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系统架构图</w:t>
      </w:r>
    </w:p>
    <w:p w14:paraId="1A0BF9A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系统模块组成：</w:t>
      </w:r>
    </w:p>
    <w:p w14:paraId="1A0BF9A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产品资料 JSON → 产品门禁 &amp; 隐私白名单（privacy_gate）→ 多语种并行任务调度（package_cli）→ 独立站 Agent（site_agent）/ 直播 Agent（live_agent）/ 内容包 Agent（package_agent）→ 四步闭环（生成 → 合规审查 → 改写 → 复审）→ 交付层（JSON 交付包 + 多语种 HTML + usage/counts）。</w:t>
      </w:r>
    </w:p>
    <w:p w14:paraId="1A0BF9A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关键设计决策：</w:t>
      </w:r>
    </w:p>
    <w:p w14:paraId="1A0BF9A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· 字段合同「净化 &gt; 判死」：早期实现在某语种 bullets 混入空值时，整个语种被判 SchemaError 而全灭（实测 tiktok 因此 0 交付）。改为先净化再校验，把「判死」降级为「净化 + 告警」，交付率从 0/4 提升到 3/4。可用性优先于严格性。</w:t>
      </w:r>
    </w:p>
    <w:p w14:paraId="1A0BF9A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· 合规门禁 fail-closed：不确定就拦，宁可漏交付也不放违规内容出去。</w:t>
      </w:r>
    </w:p>
    <w:p w14:paraId="1A0BF9A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· 长度超限做软告警不做 block：阿语标题 43 字符超过建议值 40 时仅告警不阻断——长度不是红线，医疗合规才是。</w:t>
      </w:r>
    </w:p>
    <w:p w14:paraId="5B360B9B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调用的阿里云百炼模型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B8252B">
        <w:tc>
          <w:tcPr>
            <w:tcW w:w="1666" w:type="pct"/>
          </w:tcPr>
          <w:p w14:paraId="06EBCAA6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模型标识</w:t>
            </w:r>
          </w:p>
        </w:tc>
        <w:tc>
          <w:tcPr>
            <w:tcW w:w="1666" w:type="pct"/>
          </w:tcPr>
          <w:p w14:paraId="286DDD3D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w="1666" w:type="pct"/>
          </w:tcPr>
          <w:p w14:paraId="16FB22E8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调用方式/链接链</w:t>
            </w:r>
          </w:p>
        </w:tc>
      </w:tr>
      <w:tr w14:paraId="577B9FF0">
        <w:tc>
          <w:tcPr>
            <w:tcW w:w="1666" w:type="pct"/>
          </w:tcPr>
          <w:p w14:paraId="5C114138">
            <w:pPr>
              <w:spacing w:after="0" w:line="240" w:lineRule="auto"/>
            </w:pPr>
            <w:r>
              <w:t>qwen3.7-plus</w:t>
            </w:r>
          </w:p>
        </w:tc>
        <w:tc>
          <w:tcPr>
            <w:tcW w:w="1666" w:type="pct"/>
          </w:tcPr>
          <w:p w14:paraId="52BD3232">
            <w:pPr>
              <w:spacing w:after="0" w:line="240" w:lineRule="auto"/>
            </w:pPr>
            <w:r>
              <w:t>内容生成（独立站 / 直播脚本 / 多语种改写）</w:t>
            </w:r>
          </w:p>
        </w:tc>
        <w:tc>
          <w:tcPr>
            <w:tcW w:w="1666" w:type="pct"/>
          </w:tcPr>
          <w:p w14:paraId="53561658">
            <w:pPr>
              <w:spacing w:after="0" w:line="240" w:lineRule="auto"/>
            </w:pPr>
            <w:r>
              <w:t>阿里云百炼 Token Plan 网关，OpenAI 兼容接口</w:t>
            </w:r>
          </w:p>
        </w:tc>
      </w:tr>
      <w:tr w14:paraId="263B1A54">
        <w:tc>
          <w:tcPr>
            <w:tcW w:w="1666" w:type="pct"/>
          </w:tcPr>
          <w:p w14:paraId="25546A14">
            <w:pPr>
              <w:spacing w:after="0" w:line="240" w:lineRule="auto"/>
            </w:pPr>
            <w:r>
              <w:t>deepseek-v4-flash</w:t>
            </w:r>
          </w:p>
        </w:tc>
        <w:tc>
          <w:tcPr>
            <w:tcW w:w="1666" w:type="pct"/>
          </w:tcPr>
          <w:p w14:paraId="351D9816">
            <w:pPr>
              <w:spacing w:after="0" w:line="240" w:lineRule="auto"/>
            </w:pPr>
            <w:r>
              <w:t>合规审查（跨厂商交叉审查，避免同源盲区）</w:t>
            </w:r>
          </w:p>
        </w:tc>
        <w:tc>
          <w:tcPr>
            <w:tcW w:w="1666" w:type="pct"/>
          </w:tcPr>
          <w:p w14:paraId="4D3D8F51">
            <w:pPr>
              <w:spacing w:after="0" w:line="240" w:lineRule="auto"/>
            </w:pPr>
            <w:r>
              <w:t>同上（生成用通义系、审查用 DeepSeek 系）</w:t>
            </w:r>
          </w:p>
        </w:tc>
      </w:tr>
      <w:tr w14:paraId="5FDBF408">
        <w:tc>
          <w:tcPr>
            <w:tcW w:w="1666" w:type="pct"/>
          </w:tcPr>
          <w:p w14:paraId="7D7D9137">
            <w:pPr>
              <w:spacing w:after="0" w:line="240" w:lineRule="auto"/>
            </w:pPr>
          </w:p>
        </w:tc>
        <w:tc>
          <w:tcPr>
            <w:tcW w:w="1666" w:type="pct"/>
          </w:tcPr>
          <w:p w14:paraId="195DE945">
            <w:pPr>
              <w:spacing w:after="0" w:line="240" w:lineRule="auto"/>
            </w:pPr>
          </w:p>
        </w:tc>
        <w:tc>
          <w:tcPr>
            <w:tcW w:w="1666" w:type="pct"/>
          </w:tcPr>
          <w:p w14:paraId="0AD1DB22">
            <w:pPr>
              <w:spacing w:after="0" w:line="240" w:lineRule="auto"/>
            </w:pPr>
          </w:p>
        </w:tc>
      </w:tr>
    </w:tbl>
    <w:p w14:paraId="015BE43B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技术组件说明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语言/运行时：Python 3.14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LLM 接入：openai SDK（OpenAI 兼容），网关 token-plan.cn-beijing.maas.aliyuncs.com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配置驱动：pyyaml（config/ 下 site_blocks.yaml、live_script.yaml、package_copy.yaml、compliance.yaml、languages.yaml、platforms.yaml）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结构校验：jsonschema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界面：Streamlit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数据处理：纯文件式 JSON 流水线，无外部数据库依赖（便于私有化部署）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Agent 组织：多 Agent 分工（site / live / package）+ 单 Agent 内四步闭环，非简单 Prompt 串联</w:t>
      </w:r>
    </w:p>
    <w:p w14:paraId="3FEC0D6B">
      <w:r>
        <w:t>————————————————————————————————————————</w:t>
      </w:r>
    </w:p>
    <w:p w14:paraId="48D39D41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项目开发及阶段成果说明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开发过程：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1）初赛完成多平台社媒文案引擎（6 平台 × 7 语种差异化生成）。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2）复赛收窄场景至「医疗出海」，新增两个深度模块：独立站内容包与跨境直播脚本。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3）经独立评审（Codex 对抗式评审）后重做，修复 4 个 P0 级问题。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已完成的真实成果：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· 医疗独立站内容包 6/6 语种交付（en/ar/id/th/vi/ms）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· 消费品独立站内容包 2/2 交付；医疗直播脚本 3/3；消费直播脚本 3/3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· 15 个新增 unittest 全部通过；交付包一致性校验四包全过（6/6、2/2、3/3、3/3），含篡改拒绝验证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· 真实调用记录 17 批 87 次 / 833,004 tokens，失败记录全部保留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遇到的挑战与解决方案：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1）交付率突然归零——某语种因字段类型错误被判死，下游全部失败。改为「净化 &gt; 判死」，把严格校验降级为净化 + 告警。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2）合规审查超时——审查模型在长文案上 90 秒超时。换用更快模型，同时保留跨厂商交叉审查的设计价值。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3）长度限制误伤——阿语标题超字符建议值导致整条被拦。区分「硬红线」与「软建议」，长度改为告警。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4）历史稿质量缺陷——发现中文混入与品牌名误改后，增加门禁并重新真实生成，同时撤回了 12 份不合格的历史 HTML（原始 JSON 保留供审计）。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后续迭代计划：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1）接入真实留资后端与网站部署，打通「生成 → 上线」链路；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2）扩充语种与行业合规规则集（俄语区、拉美）；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3）准入/认证/数据主权从 pending_verification 升级为人工核实工作流。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t>诚实声明的局限：模型审核不等于法律核验，准入/认证/数据主权统一标记为「待人工核实」；真实生成仍可能失败（结构不完整、被隐私门禁拦截、复审不通过），失败记录全部保留，不伪装为成功；尚未搭建真实留资后端、未部署上线，本次交付的是内容包。</w:t>
      </w:r>
    </w:p>
    <w:p w14:paraId="093458C5">
      <w:r>
        <w:t>————————————————————————————————————————</w:t>
      </w:r>
    </w:p>
    <w:p w14:paraId="7E852DB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提交物清单（勾选确认）</w:t>
      </w:r>
    </w:p>
    <w:p w14:paraId="536C28F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项目开发及阶段成果说明（本模板第五部分）</w:t>
      </w:r>
    </w:p>
    <w:p w14:paraId="33C269DD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测试账号或体验地址（如适用）：</w:t>
      </w:r>
    </w:p>
    <w:p w14:paraId="3F6EF13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产品演示视频链接（B站/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CSDN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，建议3-5分钟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优先线上链接，无法线上则打包 zip）：</w:t>
      </w:r>
    </w:p>
    <w:p w14:paraId="67AAC5BE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GitCode 代码仓库地址（可选：私有仓库+授权评审可见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授权给账号：air__Heaven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，或不填用Demo验证）：</w:t>
      </w:r>
    </w:p>
    <w:p w14:paraId="56D1E0D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技术架构及调用模型的使用说明（本模板第四部分）</w:t>
      </w:r>
    </w:p>
    <w:p w14:paraId="2BD485A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产品功能与使用说明（本模板第三部分）</w:t>
      </w:r>
    </w:p>
    <w:p w14:paraId="6C77DB0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可运行的产品 Demo / 核心功能原型（优先线上链接，无法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线上则打包 zip）</w:t>
      </w:r>
    </w:p>
    <w:p w14:paraId="3ADC4DDD">
      <w:r>
        <w:t>————————————————————————————————————————</w:t>
      </w:r>
    </w:p>
    <w:p w14:paraId="51A5399C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注意事项</w:t>
      </w:r>
    </w:p>
    <w:p w14:paraId="39742120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本模板编辑完成后，请务必「另存为 PDF 格式」再提交。</w:t>
      </w:r>
    </w:p>
    <w:p w14:paraId="62FBA70F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PDF 命名：团队名_方案名称_复赛作品.pdf</w:t>
      </w:r>
    </w:p>
    <w:p w14:paraId="64C5D729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演示视频建议控制在 3-5 分钟，展示核心业务流程即可。</w:t>
      </w:r>
    </w:p>
    <w:p w14:paraId="1C937C1F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作品不一定需要达到正式商业产品标准，但需证明方案可实现、可使用、具有业务价值。</w:t>
      </w:r>
    </w:p>
    <w:p w14:paraId="5D0C8B7D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如有其他补充材料，可附在文档末尾一并转存 PDF。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A17A8B"/>
    <w:multiLevelType w:val="singleLevel"/>
    <w:tmpl w:val="E5A17A8B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98DC2F9"/>
    <w:multiLevelType w:val="singleLevel"/>
    <w:tmpl w:val="198DC2F9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8">
    <w:nsid w:val="41C00401"/>
    <w:multiLevelType w:val="singleLevel"/>
    <w:tmpl w:val="41C0040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">
    <w:nsid w:val="4A74C3FA"/>
    <w:multiLevelType w:val="singleLevel"/>
    <w:tmpl w:val="4A74C3F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7BEA8E58"/>
    <w:multiLevelType w:val="singleLevel"/>
    <w:tmpl w:val="7BEA8E5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10"/>
  </w:num>
  <w:num w:numId="8">
    <w:abstractNumId w:val="8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5D07FF"/>
    <w:rsid w:val="DE7BAB76"/>
    <w:rsid w:val="DE7BFBBF"/>
    <w:rsid w:val="DFFFF97A"/>
    <w:rsid w:val="F3FD13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50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37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39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6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5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paragraph" w:customStyle="1" w:styleId="13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7">
    <w:name w:val="Heading 4 Char"/>
    <w:basedOn w:val="132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38">
    <w:name w:val="Heading 7 Char"/>
    <w:basedOn w:val="132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39">
    <w:name w:val="Heading 5 Char"/>
    <w:basedOn w:val="132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paragraph" w:styleId="140">
    <w:name w:val="List Paragraph"/>
    <w:basedOn w:val="1"/>
    <w:qFormat/>
    <w:uiPriority w:val="34"/>
    <w:pPr>
      <w:ind w:left="720"/>
      <w:contextualSpacing/>
    </w:pPr>
  </w:style>
  <w:style w:type="character" w:customStyle="1" w:styleId="141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paragraph" w:styleId="142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3">
    <w:name w:val="Intense Quote"/>
    <w:basedOn w:val="1"/>
    <w:next w:val="1"/>
    <w:link w:val="144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Intense Quote Char"/>
    <w:basedOn w:val="132"/>
    <w:link w:val="143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5">
    <w:name w:val="Body Text 3 Char"/>
    <w:basedOn w:val="132"/>
    <w:link w:val="17"/>
    <w:uiPriority w:val="99"/>
    <w:rPr>
      <w:sz w:val="16"/>
      <w:szCs w:val="16"/>
    </w:rPr>
  </w:style>
  <w:style w:type="paragraph" w:styleId="14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Header Char"/>
    <w:basedOn w:val="132"/>
    <w:link w:val="25"/>
    <w:uiPriority w:val="99"/>
  </w:style>
  <w:style w:type="character" w:customStyle="1" w:styleId="149">
    <w:name w:val="Heading 3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0">
    <w:name w:val="Heading 1 Char"/>
    <w:basedOn w:val="132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51">
    <w:name w:val="Quote Char"/>
    <w:basedOn w:val="132"/>
    <w:link w:val="14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3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54">
    <w:name w:val="Heading 2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5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6">
    <w:name w:val="Footer Char"/>
    <w:basedOn w:val="132"/>
    <w:link w:val="24"/>
    <w:uiPriority w:val="99"/>
  </w:style>
  <w:style w:type="character" w:customStyle="1" w:styleId="157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8">
    <w:name w:val="Heading 9 Char"/>
    <w:basedOn w:val="132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159">
    <w:name w:val="Heading 6 Char"/>
    <w:basedOn w:val="132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60">
    <w:name w:val="Title Char"/>
    <w:basedOn w:val="132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61">
    <w:name w:val="Heading 8 Char"/>
    <w:basedOn w:val="132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62">
    <w:name w:val="Body Text Char"/>
    <w:basedOn w:val="132"/>
    <w:uiPriority w:val="99"/>
  </w:style>
  <w:style w:type="character" w:customStyle="1" w:styleId="163">
    <w:name w:val="Subtitle Char"/>
    <w:basedOn w:val="132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2026-09-02T16:22:00Z</dcterms:created>
  <dc:creator>Data</dc:creator>
  <cp:lastModifiedBy>明日边缘</cp:lastModifiedBy>
  <dcterms:modified xsi:type="dcterms:W3CDTF">2026-09-02T18:08:16Z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29D488A1452BA29268A2966A050D451C_42</vt:lpwstr>
  </property>
</Properties>
</file>