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dan karena biaya komputasinya memungkinkan pengulangan lima seed.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 Untuk evaluasi temporal, interval dihitung dengan bootstrap pada unit registrable domain, 1.000 replikasi, dan seed RNG bootstrap 42, diterapkan pada prediksi model seed 13; angka 13 pada Tabel 6 menandai seed model, bukan seed RNG bootstrap.</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antara kedua korpus dapat berasal dari perbedaan sumber pengumpulan, bukan dari perubahan perilaku penyerang seiring waktu. Perancu vendor ini berlaku pada perbandingan lintas korpus PhiUSIIL–PhreshPhish, bukan pada perbandingan antarbulan di dalam PhreshPhish, karena seluruh blok temporal PhreshPhish berasal dari sumber pengumpulan yang sama.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0,999811573 − 0,999649117</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Pemetaan per eksperimen: benchmark PhiUSIIL (E1-E5) dibangun oleh 03_evaluation_pipeline_v2_run_complete.ipynb dengan split_random.csv dan split_sitedisjoint.csv sebagai masukan; evaluasi temporal PhreshPhish (E4) oleh run_temporal.py dengan design.json pada folder run; evaluasi ambang operasional (E7) oleh 01_operational_thresholds.executed.ipynb yang mengimpor paket src eksperimen 7; taksonomi galat (E8) oleh error_taxonomy.py; dan transfer arah balik (E9) oleh reverse_transfer.ipynb. Biner model, prediksi per baris, dan pemisahan baris lengkap dibangkitkan ulang oleh skrip masing-masing dengan seed yang tercatat, bukan oleh satu perintah bersama.</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10569</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