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sekitar 0,988 atau lebih,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of about 0.988 or more,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Mengusulkan protokol evaluasi untuk kondisi nyata, termasuk studi longitudinal pada interval waktu tetap dengan dan tanpa pelatihan ulang; tidak menjalankan transfer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Menguji ulang metode pada dataset baru dan beragam, termasuk pengaruh rasio kelas; menyatakan pelatihan ulang saja tidak cukup menghadapi serangan baru;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Pembagian dalam-korpus pada satu dataset per studi (80/20 berstrata pada [11]; 70/30 pada [12]); tidak ada pemisahan berbasis waktu dan tidak ada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dijalankan dua arah: arah maju melatih model hanya pada PhiUSIIL dan menggunakan kohort uji PhreshPhish sebagai target tanpa adaptasi, dan arah balik melatih model hanya pada blok fit PhreshPhish dengan deduplikasi string URL persis lalu menguji pada PhiUSIIL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dari lima metrik per seed, dan tersedia sebagai seed_t_intervals.csv pada folder keluaran eksperimen 5; variasi yang tercakup juga meliputi perubahan partisi pada benchmark.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sekitar 0,988 atau lebih,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0,000162 sampai 0,001178 dalam F1, bergantung pada model dan konfigurasi. Untuk A0/LightGBM selisihnya 0,000203; untuk A0/XGBoost 0,000162, dihitung dari nilai tak-terbulatkan pada summary.csv eksperimen 5. Interval kepercayaan 95 % berbasis t (df = 4) pada masing-masing protokol dihitung dan tersedia pada seed_t_intervals.csv eksperimen 5, tidak ditabulasikan dalam artikel ini; interval tersebut menunjukkan variasi lintas seed, bukan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sekitar 0,988 atau lebih,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Metadata eksekusi mencatat 16 CPU logis dan konfigurasi n_jobs, tetapi jumlah thread efektif, kapasitas RAM, dan beban sistem saat eksekusi tidak dicatat; karena itu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−0,000567,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 Batas interval diambil dari bootstrap_temporal.csv eksperimen 5; berkas cluster_bootstrap_primary_seed.csv pada folder eksperimen 4 memuat interval berbeda untuk estimasi yang sama dan tidak dipakai di sini.</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13,47 %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faktor temporal: periode uji berasal dari waktu yang lebih akhir daripada periode latih, sehingga perbedaan kinerja antara periode awal dan akhir tidak dapat diatribusikan kepada waktu saja. Perbandingan lintas korpus PhiUSIIL–PhreshPhish membawa perancu tambahan yang berbeda sifatnya, yaitu pipeline dan vendor pengumpulan yang berbeda, dan perancu tersebut berlaku pada perbandingan lintas korpus itu, bukan pada perbandingan antarbulan di dalam PhreshPhish. Kedua jenis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(Gambar 2b).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0,999855755 − 0,999693299</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 (8.035); platform_fn_breakdown.csv dan README.md eksperimen 8 (rincian pages.dev 7.341, dilaporkan sebagai angka prosa)</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Rerata lima seed F1 temporal A2/LightGBM (seluruh 168.035 baris uji)</w:t>
            </w:r>
          </w:p>
        </w:tc>
        <w:tc>
          <w:tcPr>
            <w:tcW w:type="dxa" w:w="3118"/>
          </w:tcPr>
          <w:p>
            <w:pPr>
              <w:jc w:val="left"/>
            </w:pPr>
            <w:r>
              <w:rPr>
                <w:rFonts w:ascii="Times New Roman" w:hAnsi="Times New Roman"/>
                <w:sz w:val="14"/>
              </w:rPr>
              <w:t>0,800461</w:t>
            </w:r>
          </w:p>
        </w:tc>
        <w:tc>
          <w:tcPr>
            <w:tcW w:type="dxa" w:w="3118"/>
          </w:tcPr>
          <w:p>
            <w:pPr>
              <w:jc w:val="left"/>
            </w:pPr>
            <w:r>
              <w:rPr>
                <w:rFonts w:ascii="Times New Roman" w:hAnsi="Times New Roman"/>
                <w:sz w:val="14"/>
              </w:rPr>
              <w:t>summary.csv (eksperimen 5), protokol temporal; simpangan baku 0,001184</w:t>
            </w:r>
          </w:p>
        </w:tc>
      </w:tr>
      <w:tr>
        <w:tc>
          <w:tcPr>
            <w:tcW w:type="dxa" w:w="3118"/>
          </w:tcPr>
          <w:p>
            <w:pPr>
              <w:jc w:val="left"/>
            </w:pPr>
            <w:r>
              <w:rPr>
                <w:rFonts w:ascii="Times New Roman" w:hAnsi="Times New Roman"/>
                <w:sz w:val="14"/>
              </w:rPr>
              <w:t>Rerata lima seed F1 temporal A2/XGBoost (seluruh 168.035 baris uji)</w:t>
            </w:r>
          </w:p>
        </w:tc>
        <w:tc>
          <w:tcPr>
            <w:tcW w:type="dxa" w:w="3118"/>
          </w:tcPr>
          <w:p>
            <w:pPr>
              <w:jc w:val="left"/>
            </w:pPr>
            <w:r>
              <w:rPr>
                <w:rFonts w:ascii="Times New Roman" w:hAnsi="Times New Roman"/>
                <w:sz w:val="14"/>
              </w:rPr>
              <w:t>0,799629</w:t>
            </w:r>
          </w:p>
        </w:tc>
        <w:tc>
          <w:tcPr>
            <w:tcW w:type="dxa" w:w="3118"/>
          </w:tcPr>
          <w:p>
            <w:pPr>
              <w:jc w:val="left"/>
            </w:pPr>
            <w:r>
              <w:rPr>
                <w:rFonts w:ascii="Times New Roman" w:hAnsi="Times New Roman"/>
                <w:sz w:val="14"/>
              </w:rPr>
              <w:t>summary.csv (eksperimen 5), protokol temporal; simpangan baku 0 (prosedur histogram deterministik)</w:t>
            </w:r>
          </w:p>
        </w:tc>
      </w:tr>
      <w:tr>
        <w:tc>
          <w:tcPr>
            <w:tcW w:type="dxa" w:w="3118"/>
          </w:tcPr>
          <w:p>
            <w:pPr>
              <w:jc w:val="left"/>
            </w:pPr>
            <w:r>
              <w:rPr>
                <w:rFonts w:ascii="Times New Roman" w:hAnsi="Times New Roman"/>
                <w:sz w:val="14"/>
              </w:rPr>
              <w:t>Aturan FPR validasi &lt;= 1 %: FPR uji, recall uji, ambang terpilih</w:t>
            </w:r>
          </w:p>
        </w:tc>
        <w:tc>
          <w:tcPr>
            <w:tcW w:type="dxa" w:w="3118"/>
          </w:tcPr>
          <w:p>
            <w:pPr>
              <w:jc w:val="left"/>
            </w:pPr>
            <w:r>
              <w:rPr>
                <w:rFonts w:ascii="Times New Roman" w:hAnsi="Times New Roman"/>
                <w:sz w:val="14"/>
              </w:rPr>
              <w:t>1,1352 %; 0,5440; 0,884705</w:t>
            </w:r>
          </w:p>
        </w:tc>
        <w:tc>
          <w:tcPr>
            <w:tcW w:type="dxa" w:w="3118"/>
          </w:tcPr>
          <w:p>
            <w:pPr>
              <w:jc w:val="left"/>
            </w:pPr>
            <w:r>
              <w:rPr>
                <w:rFonts w:ascii="Times New Roman" w:hAnsi="Times New Roman"/>
                <w:sz w:val="14"/>
              </w:rPr>
              <w:t>test_metrics_primary_seed.csv (eksperimen 7, seed 13)</w:t>
            </w:r>
          </w:p>
        </w:tc>
      </w:tr>
      <w:tr>
        <w:tc>
          <w:tcPr>
            <w:tcW w:type="dxa" w:w="3118"/>
          </w:tcPr>
          <w:p>
            <w:pPr>
              <w:jc w:val="left"/>
            </w:pPr>
            <w:r>
              <w:rPr>
                <w:rFonts w:ascii="Times New Roman" w:hAnsi="Times New Roman"/>
                <w:sz w:val="14"/>
              </w:rPr>
              <w:t>Aturan ambang 0,5: FPR uji dan recall uji</w:t>
            </w:r>
          </w:p>
        </w:tc>
        <w:tc>
          <w:tcPr>
            <w:tcW w:type="dxa" w:w="3118"/>
          </w:tcPr>
          <w:p>
            <w:pPr>
              <w:jc w:val="left"/>
            </w:pPr>
            <w:r>
              <w:rPr>
                <w:rFonts w:ascii="Times New Roman" w:hAnsi="Times New Roman"/>
                <w:sz w:val="14"/>
              </w:rPr>
              <w:t>7,6497 %; 0,7380</w:t>
            </w:r>
          </w:p>
        </w:tc>
        <w:tc>
          <w:tcPr>
            <w:tcW w:type="dxa" w:w="3118"/>
          </w:tcPr>
          <w:p>
            <w:pPr>
              <w:jc w:val="left"/>
            </w:pPr>
            <w:r>
              <w:rPr>
                <w:rFonts w:ascii="Times New Roman" w:hAnsi="Times New Roman"/>
                <w:sz w:val="14"/>
              </w:rPr>
              <w:t>test_metrics_primary_seed.csv (eksperimen 7, seed 13)</w:t>
            </w:r>
          </w:p>
        </w:tc>
      </w:tr>
      <w:tr>
        <w:tc>
          <w:tcPr>
            <w:tcW w:type="dxa" w:w="3118"/>
          </w:tcPr>
          <w:p>
            <w:pPr>
              <w:jc w:val="left"/>
            </w:pPr>
            <w:r>
              <w:rPr>
                <w:rFonts w:ascii="Times New Roman" w:hAnsi="Times New Roman"/>
                <w:sz w:val="14"/>
              </w:rPr>
              <w:t>FPR pada URL benign dengan panjang &lt;= 30 karakter</w:t>
            </w:r>
          </w:p>
        </w:tc>
        <w:tc>
          <w:tcPr>
            <w:tcW w:type="dxa" w:w="3118"/>
          </w:tcPr>
          <w:p>
            <w:pPr>
              <w:jc w:val="left"/>
            </w:pPr>
            <w:r>
              <w:rPr>
                <w:rFonts w:ascii="Times New Roman" w:hAnsi="Times New Roman"/>
                <w:sz w:val="14"/>
              </w:rPr>
              <w:t>21,8 %</w:t>
            </w:r>
          </w:p>
        </w:tc>
        <w:tc>
          <w:tcPr>
            <w:tcW w:type="dxa" w:w="3118"/>
          </w:tcPr>
          <w:p>
            <w:pPr>
              <w:jc w:val="left"/>
            </w:pPr>
            <w:r>
              <w:rPr>
                <w:rFonts w:ascii="Times New Roman" w:hAnsi="Times New Roman"/>
                <w:sz w:val="14"/>
              </w:rPr>
              <w:t>category_error_table.csv (eksperimen 8), kategori url_length_band &lt;=30</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sekitar 0,988 atau lebih,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sekitar 0,988 atau lebih.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 dana eksternal; penelitian didanai mandiri oleh para penulis.</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dan pemetaan berikut menyebut artefak yang benar-benar tersedia. Pembersihan dan pembagian PhiUSIIL disiapkan oleh notebook tahap awal, dengan split_random.csv dan split_sitedisjoint.csv sebagai manifest ID-fold yang menjadi masukan setiap arm. Benchmark A0/A1/A2 dan ablasi dibangkitkan oleh paired_bootstrap_E4/src/run_experiment.py dan diringkas oleh paired_bootstrap_E4/src/summarize.py; nama folder historis E4 tidak berarti notebook E3 menghasilkan benchmark final, dan notebook 03_evaluation_pipeline_v2_run_complete.ipynb memakai keluarga fitur serta konvensi label yang berbeda sehingga tidak dipakai untuk metrik positif-phishing. Evaluasi temporal memakai temporal_scripts/run_temporal.py untuk jalur kanonik, sedangkan interval yang dikutip Tabel 6 berasal dari paired_bootstrap_E4/bootstrap_temporal.csv. Transfer maju dijalankan oleh Exp6_Cross_Corpus/transfer.executed.ipynb; evaluasi ambang oleh Exp7_Operational_Threshold/01_operational_thresholds.executed.ipynb dengan paket src eksperimen 7; taksonomi galat oleh Exp8_Error_Taxonomy/error_taxonomy.executed.ipynb; dan transfer balik oleh Exp9_reverse_transfer/reverse_transfer.ipynb. Kedua manifest split memuat 1.176.850 baris, yaitu lima seed kali 235.370 URL; yang tidak dibundel adalah data mentah, biner model, dan prediksi per baris, bukan manifest ID-fold. Snapshot arsip yang dirujuk adalah DOI versi 10.5281/zenodo.23860185 di bawah DOI konsep 10.5281/zenodo.23847784.</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16</Pages>
  <Words>10850</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