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di atas 0,988,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satu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frozen A2 zero-shot transfer, validation-only threshold selection, and descriptive error analysis. On PhiUSIIL, A0/LightGBM achieved site-disjoint F1 0.999623; two retained features each had single-feature AUC above 0.988,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one-direction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Evaluasi untuk kondisi nyata; tanpa adaptasi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Tanpa desain temporal;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Tanpa desain temporal atau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pada domain ini lebih tipis daripada literatur klasifikasi.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satu arah dengan ekstraktor, model, dan ambang yang tidak disesuaikan pada target dilaporkan secara terbatas pada pasangan korpus PhiUSIIL dan PhreshPhish.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yang dilatih hanya pada PhiUSIIL menuju kohort uji PhreshPhish tanpa retraining, kalibrasi, atau penyetelan ambang.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PhiUSIIL→PhreshPhish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bersifat deterministik terhadap seed yang dicatat, dan setiap angka yang dilaporkan pada Bagian 3 berasal dari berkas hasil yang tersimpan, bukan dari pengukuran ulang secara manual.</w:t>
      </w:r>
      <w:r>
        <w:rPr>
          <w:rFonts w:ascii="Times New Roman" w:hAnsi="Times New Roman" w:eastAsia="Times New Roman"/>
          <w:sz w:val="19"/>
        </w:rPr>
        <w:t xml:space="preserve"> Pernyataan determinisme penuh tidak diverifikasi melalui artefak; yang dicatat adalah konfigurasi dan seed untuk replikasi.</w:t>
      </w:r>
    </w:p>
    <w:p>
      <w:pPr>
        <w:spacing w:after="60"/>
        <w:ind w:firstLine="283"/>
        <w:jc w:val="both"/>
      </w:pPr>
      <w:r>
        <w:rPr>
          <w:rFonts w:ascii="Times New Roman" w:hAnsi="Times New Roman" w:eastAsia="Times New Roman"/>
          <w:sz w:val="19"/>
        </w:rPr>
        <w:t>Jumlah kecocokan model utama yang dilaporkan adalah 85 kecocokan terpilih: 60 kecocokan benchmark PhiUSIIL, 10 kecocokan evaluasi temporal PhreshPhish, 10 kecocokan transfer lintas-korpus (2 model × 5 seed), dan 5 kecocokan LightGBM untuk evaluasi ambang operasional. Angka 85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Eksperimen transfer membekukan ekstraktor A2, urutan 18 fitur, model, dan ambang 0,5 setelah pelatihan pada PhiUSIIL. PhreshPhish hanya digunakan sebagai target evaluasi; tidak ada retraining, kalibrasi, atau pemilihan ambang berbasis target.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mengacu pada nilai tak-terbulatkan, bukan pada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melatih model hanya pada PhiUSIIL dan menggunakan kohort uji PhreshPhish sebagai target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dan karena biaya komputasinya memungkinkan pengulangan lima seed.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Titik estimasi pada perbandingan itu adalah nilai model seed 42, bukan rerata lima seed pada Tabel 4, sehingga selisih pada Tabel 5 dan selisih rerata pada Tabel 4 memang berbeda dan tidak boleh dibandingkan langsung. Seed 42 di sini berperan sebagai seed model, sedangkan seed 42 pada bootstrap berperan sebagai seed RNG resampling; keduanya kebetulan bernilai sama tetapi berperan berbeda.</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di atas 0,988,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0,000163 sampai 0,001178 dalam F1, bergantung pada model dan konfigurasi. Untuk A0/LightGBM selisihnya 0,000203; untuk A0/XGBoost 0,000163. Interval kepercayaan 95 % berbasis t (df = 4) pada masing-masing protokol dilaporkan untuk menunjukkan variasi lintas seed, bukan untuk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r>
        <w:rPr>
          <w:rFonts w:ascii="Times New Roman" w:hAnsi="Times New Roman" w:eastAsia="Times New Roman"/>
          <w:sz w:val="19"/>
        </w:rPr>
        <w:t xml:space="preserve"> Nilai interval tersebut tersimpan pada berkas metrik per seed dan tidak ditabulasikan dalam artikel ini.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di atas 0,988,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berdampak jauh lebih besar terhadap beban investigasi analis daripada penurunan recall pada orde yang sama.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Spesifikasi perangkat keras dan jumlah thread tidak dicatat pada artefak, sehingga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13,48 %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juga menjelaskan mengapa angka agregat tidak dapat dipakai untuk menyimpulkan tren.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dua sumber perancu. Pertama, faktor temporal: periode uji berasal dari waktu yang lebih akhir daripada periode latih. Kedua, faktor populasi dan vendor: korpus PhreshPhish dikumpulkan melalui pipeline dan vendor yang berbeda dari PhiUSIIL, sehingga perbedaan distribusi dapat berasal dari perbedaan sumber pengumpulan, bukan dari perubahan perilaku penyerang seiring waktu. Kedua sumber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t xml:space="preserve"> Perlu ditegaskan bahwa perbedaan vendor dan pipeline merupakan perancu perbandingan lintas korpus PhiUSIIL–PhreshPhish, bukan perancu perbandingan antarbulan di dalam PhreshPhish, karena seluruh blok temporal PhreshPhish berasal dari sumber pengumpulan yang sama.</w:t>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dari PhiUSIIL ke PhreshPhish tanpa adaptasi. Tabel 7 memperlihatkan hasil seed 42. Referensi dalam-domain PhiUSIIL tetap mendekati plafon untuk kedua model, tetapi perilaku berubah tajam pada target.</w:t>
      </w:r>
    </w:p>
    <w:p>
      <w:pPr>
        <w:keepNext/>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Baris target tidak menggunakan fitting atau penyetelan pada PhreshPhish.</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0,000163</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results_random.csv; results_sitedisjoint.csv</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di atas 0,988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satu arah transfer,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di atas 0,988.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pada tag v1.0.0, dengan MANIFEST.sha256 untuk verifikasi independen; salinan arsip ber-DOI diterbitkan dari rilis yang sama. Penghitungan ulang artefak yang dikecualikan memerlukan run_temporal.py, design.json, dan seed yang tercatat.</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Split resmi train/test dipakai apa adanya, bukan dibentuk ulang.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Nilai sumber berupa string benign/phish dan dipetakan ke 0/1; pipeline menolak nilai label di luar himpunan itu, sehingga tidak ada label di luar domain yang masuk.</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src/features.py dengan SHA-256 c98b119c72c77df225bd21b7f803c367b71a934630622b3349ddecf349dc5864; dihitung deterministik per URL tanpa fitur halaman.</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Spesifikasi perangkat keras dan jumlah thread tidak dicatat pada artefak; angka waktu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9769</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