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di atas 0,988,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pada arah sebaliknya, model yang dilatih pada blok fit PhreshPhish dan diuji pada 235.370 URL PhiUSIIL mencapai F1 0,549564, FPR benign 0,897783, ROC-AUC 0,642939, dan MCC −0,092320.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dua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two-direction frozen A2 zero-shot transfer, validation-only threshold selection, and descriptive error analysis. On PhiUSIIL, A0/LightGBM achieved site-disjoint F1 0.999623; two retained features each had single-feature AUC above 0.988,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in the reverse direction, training on the PhreshPhish fit block and testing on 235,370 PhiUSIIL URLs achieved F1 0.549564, benign FPR 0.897783, ROC-AUC 0.642939, and MCC −0.092320.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two-direction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Evaluasi untuk kondisi nyata; tanpa adaptasi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Tanpa desain temporal;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Tanpa desain temporal atau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PhishTank dengan benign independen</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evaluasi eksternal lintas sumber (Subbagian 4.6)</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lintas korpus pada domain ini lebih sedikit dijumpai dibanding literatur klasifikasi dalam-korpus pada penelusuran terarah yang dilakukan di sini; pernyataan ini tidak didasarkan pada survei kuantitatif.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dua arah pada pasangan korpus PhiUSIIL dan PhreshPhish, dengan ekstraktor, model, dan ambang yang tidak disesuaikan pada target, dilaporkan pada artikel ini.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tanpa retraining, kalibrasi, atau penyetelan ambang pada dua arah: dilatih pada PhiUSIIL dan diuji pada PhreshPhish, serta dilatih pada PhreshPhish dan diuji pada PhiUSIIL.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dua arah, PhiUSIIL→PhreshPhish dan PhreshPhish→PhiUSIIL,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mencatat konfigurasi dan seed untuk replikasi, dan setiap angka yang dilaporkan pada Bagian 3 berasal dari berkas hasil yang tersimpan, bukan dari pengukuran ulang secara manual.</w:t>
      </w:r>
    </w:p>
    <w:p>
      <w:pPr>
        <w:spacing w:after="60"/>
        <w:ind w:firstLine="283"/>
        <w:jc w:val="both"/>
      </w:pPr>
      <w:r>
        <w:rPr>
          <w:rFonts w:ascii="Times New Roman" w:hAnsi="Times New Roman" w:eastAsia="Times New Roman"/>
          <w:sz w:val="19"/>
        </w:rPr>
        <w:t>Jumlah kecocokan model utama yang dilaporkan adalah 90 kecocokan terpilih: 60 kecocokan benchmark PhiUSIIL, 10 kecocokan evaluasi temporal PhreshPhish, 10 kecocokan transfer lintas-korpus arah maju (2 model × 5 seed), 5 kecocokan LightGBM untuk evaluasi ambang operasional, dan 5 kecocokan LightGBM untuk transfer arah balik pada eksperimen 9. Angka 90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Jalur yang digambarkan adalah arm transfer arah maju: ekstraktor A2, urutan 18 fitur, model, dan ambang 0,5 dibekukan setelah pelatihan pada PhiUSIIL, dan PhreshPhish hanya digunakan sebagai target evaluasi tanpa retraining, kalibrasi, atau pemilihan ambang berbasis target. Arm arah balik (PhreshPhish→PhiUSIIL) dijalankan pada eksperimen 9 dan tidak digambarkan di sini.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dibaca sebagai sekitar 0,988 atau lebih, bukan sebagai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melatih model hanya pada PhiUSIIL dan menggunakan kohort uji PhreshPhish sebagai target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pilihan ini juga mempertimbangkan biaya komputasi yang memungkinkan pengulangan lima seed, dan pertimbangan biaya tersebut merupakan keputusan desain studi ini, bukan klaim yang bersumber dari [10].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Kembali ke perbandingan A1−A0: titik estimasinya adalah nilai model seed 42, bukan rerata lima seed pada Tabel 4; seed 42 di sini berperan sebagai seed model, sedangkan seed 42 pada bootstrap berperan sebagai seed RNG resampling. Karena itu selisih pada Tabel 5 dan selisih rerata pada Tabel 4 memang berbeda dan tidak boleh dibandingkan langsung. Untuk evaluasi temporal, interval dihitung dengan bootstrap pada unit registrable domain, 1.000 replikasi, dan seed RNG bootstrap 42, diterapkan pada prediksi model seed 13; angka 13 pada Tabel 6 menandai seed model, bukan seed RNG bootstrap.</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di atas 0,988,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0,000163 sampai 0,001178 dalam F1, bergantung pada model dan konfigurasi. Untuk A0/LightGBM selisihnya 0,000203; untuk A0/XGBoost 0,000163. Interval kepercayaan 95 % berbasis t (df = 4) pada masing-masing protokol dilaporkan untuk menunjukkan variasi lintas seed, bukan untuk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r>
        <w:rPr>
          <w:rFonts w:ascii="Times New Roman" w:hAnsi="Times New Roman" w:eastAsia="Times New Roman"/>
          <w:sz w:val="19"/>
        </w:rPr>
        <w:t xml:space="preserve"> Nilai interval tersebut tersimpan pada berkas metrik per seed dan tidak ditabulasikan dalam artikel ini.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di atas 0,988,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Spesifikasi perangkat keras dan jumlah thread tidak dicatat pada artefak, sehingga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−0,000568,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13,48 %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dua sumber perancu. Pertama, faktor temporal: periode uji berasal dari waktu yang lebih akhir daripada periode latih. Kedua, faktor populasi dan vendor: korpus PhreshPhish dikumpulkan melalui pipeline dan vendor yang berbeda dari PhiUSIIL, sehingga perbedaan distribusi antara kedua korpus dapat berasal dari perbedaan sumber pengumpulan, bukan dari perubahan perilaku penyerang seiring waktu. Perancu vendor ini berlaku pada perbandingan lintas korpus PhiUSIIL–PhreshPhish, bukan pada perbandingan antarbulan di dalam PhreshPhish, karena seluruh blok temporal PhreshPhish berasal dari sumber pengumpulan yang sama. Kedua sumber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t xml:space="preserve"> Perlu ditegaskan bahwa perbedaan vendor dan pipeline merupakan perancu perbandingan lintas korpus PhiUSIIL–PhreshPhish, bukan perancu perbandingan antarbulan di dalam PhreshPhish, karena seluruh blok temporal PhreshPhish berasal dari sumber pengumpulan yang sama.</w:t>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antarkorpus tanpa adaptasi; dua arah diuji, PhiUSIIL→PhreshPhish dan PhreshPhish→PhiUSIIL. Tabel 7 memperlihatkan hasil seed 42. Referensi dalam-domain PhiUSIIL tetap mendekati plafon untuk kedua model, tetapi perilaku berubah tajam pada target.</w:t>
      </w:r>
    </w:p>
    <w:p>
      <w:pPr>
        <w:keepNext/>
        <w:keepLines/>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dua arah. Baris target tidak menggunakan fitting, kalibrasi, atau penyetelan ambang pada korpus target. Baris PhiUSIIL→PhreshPhish dievaluasi pada 168.035 baris uji temporal setelah penyaringan kanonik yang mengeluarkan 3 URL terlihat di latih dan 22 duplikat URL. Baris PhreshPhish→PhiUSIIL dievaluasi pada 235.370 baris PhiUSIIL, dan baris PhreshPhish dalam-sumber pada 168.060 baris blok uji sebelum rangkaian penyaringan kanonik yang sama diterapkan (eksperimen 9). Arah balik hanya memakai LightGBM, dan deduplikasi pada eksperimen 9 memakai string URL persis di dalam blok tanggal, bukan kunci URL kanonik yang dipakai eksperimen temporal dan ambang.</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PhreshPhish→PhiUSIIL zero-shot</w:t>
            </w:r>
          </w:p>
        </w:tc>
        <w:tc>
          <w:tcPr>
            <w:tcW w:type="dxa" w:w="1039"/>
            <w:vAlign w:val="center"/>
          </w:tcPr>
          <w:p>
            <w:pPr>
              <w:spacing w:after="0"/>
              <w:ind w:firstLine="0"/>
              <w:jc w:val="center"/>
            </w:pPr>
            <w:r>
              <w:rPr>
                <w:rFonts w:ascii="Times New Roman" w:hAnsi="Times New Roman" w:eastAsia="Times New Roman"/>
                <w:sz w:val="14"/>
              </w:rPr>
              <w:t>0,549564</w:t>
            </w:r>
          </w:p>
        </w:tc>
        <w:tc>
          <w:tcPr>
            <w:tcW w:type="dxa" w:w="1039"/>
            <w:vAlign w:val="center"/>
          </w:tcPr>
          <w:p>
            <w:pPr>
              <w:spacing w:after="0"/>
              <w:ind w:firstLine="0"/>
              <w:jc w:val="center"/>
            </w:pPr>
            <w:r>
              <w:rPr>
                <w:rFonts w:ascii="Times New Roman" w:hAnsi="Times New Roman" w:eastAsia="Times New Roman"/>
                <w:sz w:val="14"/>
              </w:rPr>
              <w:t>0,409503</w:t>
            </w:r>
          </w:p>
        </w:tc>
        <w:tc>
          <w:tcPr>
            <w:tcW w:type="dxa" w:w="1039"/>
            <w:vAlign w:val="center"/>
          </w:tcPr>
          <w:p>
            <w:pPr>
              <w:spacing w:after="0"/>
              <w:ind w:firstLine="0"/>
              <w:jc w:val="center"/>
            </w:pPr>
            <w:r>
              <w:rPr>
                <w:rFonts w:ascii="Times New Roman" w:hAnsi="Times New Roman" w:eastAsia="Times New Roman"/>
                <w:sz w:val="14"/>
              </w:rPr>
              <w:t>0,835237</w:t>
            </w:r>
          </w:p>
        </w:tc>
        <w:tc>
          <w:tcPr>
            <w:tcW w:type="dxa" w:w="1039"/>
            <w:vAlign w:val="center"/>
          </w:tcPr>
          <w:p>
            <w:pPr>
              <w:spacing w:after="0"/>
              <w:ind w:firstLine="0"/>
              <w:jc w:val="center"/>
            </w:pPr>
            <w:r>
              <w:rPr>
                <w:rFonts w:ascii="Times New Roman" w:hAnsi="Times New Roman" w:eastAsia="Times New Roman"/>
                <w:sz w:val="14"/>
              </w:rPr>
              <w:t>0,897783</w:t>
            </w:r>
          </w:p>
        </w:tc>
        <w:tc>
          <w:tcPr>
            <w:tcW w:type="dxa" w:w="1039"/>
            <w:vAlign w:val="center"/>
          </w:tcPr>
          <w:p>
            <w:pPr>
              <w:spacing w:after="0"/>
              <w:ind w:firstLine="0"/>
              <w:jc w:val="center"/>
            </w:pPr>
            <w:r>
              <w:rPr>
                <w:rFonts w:ascii="Times New Roman" w:hAnsi="Times New Roman" w:eastAsia="Times New Roman"/>
                <w:sz w:val="14"/>
              </w:rPr>
              <w:t>0,642939</w:t>
            </w:r>
          </w:p>
        </w:tc>
        <w:tc>
          <w:tcPr>
            <w:tcW w:type="dxa" w:w="1039"/>
            <w:vAlign w:val="center"/>
          </w:tcPr>
          <w:p>
            <w:pPr>
              <w:spacing w:after="0"/>
              <w:ind w:firstLine="0"/>
              <w:jc w:val="center"/>
            </w:pPr>
            <w:r>
              <w:rPr>
                <w:rFonts w:ascii="Times New Roman" w:hAnsi="Times New Roman" w:eastAsia="Times New Roman"/>
                <w:sz w:val="14"/>
              </w:rPr>
              <w:t>0,682202</w:t>
            </w:r>
          </w:p>
        </w:tc>
        <w:tc>
          <w:tcPr>
            <w:tcW w:type="dxa" w:w="1039"/>
            <w:vAlign w:val="center"/>
          </w:tcPr>
          <w:p>
            <w:pPr>
              <w:spacing w:after="0"/>
              <w:ind w:firstLine="0"/>
              <w:jc w:val="center"/>
            </w:pPr>
            <w:r>
              <w:rPr>
                <w:rFonts w:ascii="Times New Roman" w:hAnsi="Times New Roman" w:eastAsia="Times New Roman"/>
                <w:sz w:val="14"/>
              </w:rPr>
              <w:t>−0,092320</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 dalam-sumber</w:t>
            </w:r>
          </w:p>
        </w:tc>
        <w:tc>
          <w:tcPr>
            <w:tcW w:type="dxa" w:w="1039"/>
            <w:vAlign w:val="center"/>
          </w:tcPr>
          <w:p>
            <w:pPr>
              <w:spacing w:after="0"/>
              <w:ind w:firstLine="0"/>
              <w:jc w:val="center"/>
            </w:pPr>
            <w:r>
              <w:rPr>
                <w:rFonts w:ascii="Times New Roman" w:hAnsi="Times New Roman" w:eastAsia="Times New Roman"/>
                <w:sz w:val="14"/>
              </w:rPr>
              <w:t>0,805958</w:t>
            </w:r>
          </w:p>
        </w:tc>
        <w:tc>
          <w:tcPr>
            <w:tcW w:type="dxa" w:w="1039"/>
            <w:vAlign w:val="center"/>
          </w:tcPr>
          <w:p>
            <w:pPr>
              <w:spacing w:after="0"/>
              <w:ind w:firstLine="0"/>
              <w:jc w:val="center"/>
            </w:pPr>
            <w:r>
              <w:rPr>
                <w:rFonts w:ascii="Times New Roman" w:hAnsi="Times New Roman" w:eastAsia="Times New Roman"/>
                <w:sz w:val="14"/>
              </w:rPr>
              <w:t>0,889221</w:t>
            </w:r>
          </w:p>
        </w:tc>
        <w:tc>
          <w:tcPr>
            <w:tcW w:type="dxa" w:w="1039"/>
            <w:vAlign w:val="center"/>
          </w:tcPr>
          <w:p>
            <w:pPr>
              <w:spacing w:after="0"/>
              <w:ind w:firstLine="0"/>
              <w:jc w:val="center"/>
            </w:pPr>
            <w:r>
              <w:rPr>
                <w:rFonts w:ascii="Times New Roman" w:hAnsi="Times New Roman" w:eastAsia="Times New Roman"/>
                <w:sz w:val="14"/>
              </w:rPr>
              <w:t>0,736953</w:t>
            </w:r>
          </w:p>
        </w:tc>
        <w:tc>
          <w:tcPr>
            <w:tcW w:type="dxa" w:w="1039"/>
            <w:vAlign w:val="center"/>
          </w:tcPr>
          <w:p>
            <w:pPr>
              <w:spacing w:after="0"/>
              <w:ind w:firstLine="0"/>
              <w:jc w:val="center"/>
            </w:pPr>
            <w:r>
              <w:rPr>
                <w:rFonts w:ascii="Times New Roman" w:hAnsi="Times New Roman" w:eastAsia="Times New Roman"/>
                <w:sz w:val="14"/>
              </w:rPr>
              <w:t>0,077263</w:t>
            </w:r>
          </w:p>
        </w:tc>
        <w:tc>
          <w:tcPr>
            <w:tcW w:type="dxa" w:w="1039"/>
            <w:vAlign w:val="center"/>
          </w:tcPr>
          <w:p>
            <w:pPr>
              <w:spacing w:after="0"/>
              <w:ind w:firstLine="0"/>
              <w:jc w:val="center"/>
            </w:pPr>
            <w:r>
              <w:rPr>
                <w:rFonts w:ascii="Times New Roman" w:hAnsi="Times New Roman" w:eastAsia="Times New Roman"/>
                <w:sz w:val="14"/>
              </w:rPr>
              <w:t>0,909696</w:t>
            </w:r>
          </w:p>
        </w:tc>
        <w:tc>
          <w:tcPr>
            <w:tcW w:type="dxa" w:w="1039"/>
            <w:vAlign w:val="center"/>
          </w:tcPr>
          <w:p>
            <w:pPr>
              <w:spacing w:after="0"/>
              <w:ind w:firstLine="0"/>
              <w:jc w:val="center"/>
            </w:pPr>
            <w:r>
              <w:rPr>
                <w:rFonts w:ascii="Times New Roman" w:hAnsi="Times New Roman" w:eastAsia="Times New Roman"/>
                <w:sz w:val="14"/>
              </w:rPr>
              <w:t>0,913361</w:t>
            </w:r>
          </w:p>
        </w:tc>
        <w:tc>
          <w:tcPr>
            <w:tcW w:type="dxa" w:w="1039"/>
            <w:vAlign w:val="center"/>
          </w:tcPr>
          <w:p>
            <w:pPr>
              <w:spacing w:after="0"/>
              <w:ind w:firstLine="0"/>
              <w:jc w:val="center"/>
            </w:pPr>
            <w:r>
              <w:rPr>
                <w:rFonts w:ascii="Times New Roman" w:hAnsi="Times New Roman" w:eastAsia="Times New Roman"/>
                <w:sz w:val="14"/>
              </w:rPr>
              <w:t>0,677473</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spacing w:after="60"/>
        <w:ind w:firstLine="283"/>
        <w:jc w:val="both"/>
      </w:pPr>
      <w:r>
        <w:rPr>
          <w:rFonts w:ascii="Times New Roman" w:hAnsi="Times New Roman" w:eastAsia="Times New Roman"/>
          <w:sz w:val="19"/>
        </w:rPr>
        <w:t xml:space="preserve">Uji arah sebaliknya dijalankan pada eksperimen 9 dengan prinsip yang sama: representasi A2, model yang dibekukan, dan ambang 0,5 tanpa penyesuaian pada target. Model dilatih hanya pada blok fit PhreshPhish (372.380 baris, 2 Juli 2024 sampai 30 Juni 2025), lalu diterapkan pada 235.370 baris PhiUSIIL hasil pembersihan. Kinerjanya juga buruk: F1 0,549564, FPR benign 0,897783, MCC −0,092320, dan ROC-AUC 0,642939. ROC-AUC di atas 0,5 menunjukkan pola pengurutan skor yang berbeda dari arah maju, sedangkan FPR 0,897783 menunjukkan ketidaksesuaian titik operasi pada kohort target: pada ambang beku 0,5, 89,8 % URL benign PhiUSIIL ditandai phishing. Sebagai pembanding titik, pengklasifikasi yang selalu memprediksi phishing pada korpus ini memperoleh F1 0,598529, sehingga F1 transfer terbalik pada ambang 0,5 berada di bawah baseline tersebut; perbandingan ini tidak berlaku untuk semua metrik atau semua ambang. Hasil ini tidak memisahkan kontribusi perubahan diskriminasi dari ketidaksesuaian kalibrasi, dan tidak menetapkan penyebab kegagalan transfer maupun menjamin bahwa kalibrasi ulang akan memulihkannya. Tumpang tindih URL persis antara blok latih dan target hanya 137 baris (0,058 %), sedangkan tumpang tindih registrable domain mencapai 21,6 % baris target; angka terakhir membatasi interpretasi dan tidak menyelamatkan kinerja. Interval bootstrap domain untuk arah balik tersedia pada artefak eksperimen 9 (F1 [0,512634; 0,586764], FPR [0,895279; 0,900180], MCC [−0,137850; −0,042795]; 1.000 replikasi, RNG seed 42, 175.509 domain). Eksperimen ini bukan evaluasi temporal karena PhiUSIIL tidak memiliki penanda waktu. Blok latih eksperimen ini berisi 372.380 baris, berbeda 167 baris dari 372.213 pada eksperimen ambang; rekonsiliasi menunjukkan selisih itu persis sama dengan jumlah duplikat URL kanonik di dalam jendela fit, karena eksperimen 9 melakukan deduplikasi pada string URL persis sedangkan jalur kanonik memakai kunci URL kanonik.</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(Gambar 2b).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0,000162</w:t>
            </w:r>
          </w:p>
        </w:tc>
        <w:tc>
          <w:tcPr>
            <w:tcW w:type="dxa" w:w="3118"/>
          </w:tcPr>
          <w:p>
            <w:pPr>
              <w:jc w:val="left"/>
            </w:pPr>
            <w:r>
              <w:rPr>
                <w:rFonts w:ascii="Times New Roman" w:hAnsi="Times New Roman"/>
                <w:sz w:val="14"/>
              </w:rPr>
              <w:t>summary.csv (eksperimen 5): 0,999811573 − 0,999649117</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summary.csv (eksperimen 5): 0,996364752 − 0,995186381</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sumber: URLSimilarityIndex (dibuang); LineOfCode dan NoOfExternalRef (dipertahankan dalam A0)</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di atas 0,988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dua arah transfer (PhiUSIIL→PhreshPhish dan PhreshPhish→PhiUSIIL),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di atas 0,988.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 dana eksternal; penelitian didanai mandiri oleh para penulis.</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Artefak yang dikecualikan tidak dihasilkan oleh satu skrip tunggal. Pemetaan per eksperimen: benchmark PhiUSIIL (E1-E5) dibangun oleh 03_evaluation_pipeline_v2_run_complete.ipynb dengan split_random.csv dan split_sitedisjoint.csv sebagai masukan; evaluasi temporal PhreshPhish (E4) oleh run_temporal.py dengan design.json pada folder run; evaluasi ambang operasional (E7) oleh 01_operational_thresholds.executed.ipynb yang mengimpor paket src eksperimen 7; taksonomi galat (E8) oleh error_taxonomy.py; dan transfer arah balik (E9) oleh reverse_transfer.ipynb. Biner model, prediksi per baris, dan pemisahan baris lengkap dibangkitkan ulang oleh skrip masing-masing dengan seed yang tercatat, bukan oleh satu perintah bersama.</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Keanggotaan split resmi train/test dipakai sebagai kerangka, bukan dibentuk ulang, tetapi blok temporal tetap melewati penyaringan: 681 baris latih pada atau setelah cutoff dikeluarkan sebelum blok fit dibentuk.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Untuk PhreshPhish, nilai sumber berupa string benign/phish dan dipetakan ke 0/1; pipeline temporal dan ambang menolak nilai di luar himpunan itu. PhiUSIIL memakai pengodean numerik sumber 1 = legitim dan 0 = phishing, lalu dipetakan menjadi phishing = 1 pada analisis. Eksperimen 9 hanya membandingkan label PhreshPhish dengan string phish dan mencetak domain label, tanpa penolakan eksplisit; keluarannya hanya benign dan phish.</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Dua salinan dipakai pada eksperimen berbeda. Eksperimen 7 memakai src/features.py dengan SHA-256 c98b119c72c77df225bd21b7f803c367b71a934630622b3349ddecf349dc5864; eksperimen 5 dan 9 memakai salinan dengan SHA-256 81822b4fac8b50cdf93371651e3c94680628ef189d64c32429ec15cc51cd48e6. Keduanya dihitung deterministik per URL tanpa fitur halaman. Kesetaraan nilai fitur antar kedua salinan tidak diperiksa pada artikel ini; yang dinyatakan adalah kontrak 18 fitur dan urutan yang sama.</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Metadata run mencatat 16 CPU logis, konfigurasi n_jobs = -1, dan identifikasi CPU generik; jumlah thread efektif, RAM, dan kondisi beban sistem tidak dicatat. Angka waktu karena itu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15</Pages>
  <Words>10597</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