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di atas 0,988,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above 0.988,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Tanpa desain temporal;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Tanpa desain temporal atau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melatih model hanya pada PhiUSIIL dan menggunakan kohort uji PhreshPhish sebagai target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dan karena biaya komputasinya memungkinkan pengulangan lima seed.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 Untuk evaluasi temporal, interval dihitung dengan bootstrap pada unit registrable domain, 1.000 replikasi, dan seed RNG bootstrap 42, diterapkan pada prediksi model seed 13; angka 13 pada Tabel 6 menandai seed model, bukan seed RNG bootstrap.</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di atas 0,988,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0,000163 sampai 0,001178 dalam F1, bergantung pada model dan konfigurasi. Untuk A0/LightGBM selisihnya 0,000203; untuk A0/XGBoost 0,000163. Interval kepercayaan 95 % berbasis t (df = 4) pada masing-masing protokol dilaporkan untuk menunjukkan variasi lintas seed, bukan untuk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r>
        <w:rPr>
          <w:rFonts w:ascii="Times New Roman" w:hAnsi="Times New Roman" w:eastAsia="Times New Roman"/>
          <w:sz w:val="19"/>
        </w:rPr>
        <w:t xml:space="preserve"> Nilai interval tersebut tersimpan pada berkas metrik per seed dan tidak ditabulasikan dalam artikel ini.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di atas 0,988,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Spesifikasi perangkat keras dan jumlah thread tidak dicatat pada artefak, sehingga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13,48 %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dua sumber perancu. Pertama, faktor temporal: periode uji berasal dari waktu yang lebih akhir daripada periode latih. Kedua, faktor populasi dan vendor: korpus PhreshPhish dikumpulkan melalui pipeline dan vendor yang berbeda dari PhiUSIIL, sehingga perbedaan distribusi antara kedua korpus dapat berasal dari perbedaan sumber pengumpulan, bukan dari perubahan perilaku penyerang seiring waktu. Perancu vendor ini berlaku pada perbandingan lintas korpus PhiUSIIL–PhreshPhish, bukan pada perbandingan antarbulan di dalam PhreshPhish, karena seluruh blok temporal PhreshPhish berasal dari sumber pengumpulan yang sama. Kedua sumber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t xml:space="preserve"> Perlu ditegaskan bahwa perbedaan vendor dan pipeline merupakan perancu perbandingan lintas korpus PhiUSIIL–PhreshPhish, bukan perancu perbandingan antarbulan di dalam PhreshPhish, karena seluruh blok temporal PhreshPhish berasal dari sumber pengumpulan yang sama.</w:t>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0,999811573 − 0,999649117</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di atas 0,988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di atas 0,988.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Pemetaan per eksperimen: benchmark PhiUSIIL (E1-E5) dibangun oleh 03_evaluation_pipeline_v2_run_complete.ipynb dengan split_random.csv dan split_sitedisjoint.csv sebagai masukan; evaluasi temporal PhreshPhish (E4) oleh run_temporal.py dengan design.json pada folder run; evaluasi ambang operasional (E7) oleh 01_operational_thresholds.executed.ipynb yang mengimpor paket src eksperimen 7; taksonomi galat (E8) oleh error_taxonomy.py; dan transfer arah balik (E9) oleh reverse_transfer.ipynb. Biner model, prediksi per baris, dan pemisahan baris lengkap dibangkitkan ulang oleh skrip masing-masing dengan seed yang tercatat, bukan oleh satu perintah bersama.</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15</Pages>
  <Words>10515</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