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Titik estimasi pada perbandingan itu adalah nilai model seed 42, bukan rerata lima seed pada Tabel 4, sehingga selisih pada Tabel 5 dan selisih rerata pada Tabel 4 memang berbeda dan tidak boleh dibandingkan langsung. Seed 42 di sini berperan sebagai seed model, sedangkan seed 42 pada bootstrap berperan sebagai seed RNG resampling; keduanya kebetulan bernilai sama tetapi berperan berbeda.</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antara kedua korpus dapat berasal dari perbedaan sumber pengumpulan, bukan dari perubahan perilaku penyerang seiring waktu. Perancu vendor ini berlaku pada perbandingan lintas korpus PhiUSIIL–PhreshPhish, bukan pada perbandingan antarbulan di dalam PhreshPhish, karena seluruh blok temporal PhreshPhish berasal dari sumber pengumpulan yang sama.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0,999811573 − 0,999649117</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Penghitungan ulang artefak yang dikecualikan memerlukan run_temporal.py, design.json, dan seed yang tercatat.</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10368</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