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di atas 0,988,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satu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frozen A2 zero-shot transfer, validation-only threshold selection, and descriptive error analysis. On PhiUSIIL, A0/LightGBM achieved site-disjoint F1 0.999623; two retained features each had single-feature AUC above 0.988,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one-direction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Evaluasi untuk kondisi nyata; tanpa adaptasi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Tanpa desain temporal;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URL pada venue BITS; evaluasi dalam-korpus</w:t>
            </w:r>
          </w:p>
        </w:tc>
        <w:tc>
          <w:tcPr>
            <w:tcW w:type="dxa" w:w="2338"/>
            <w:vAlign w:val="center"/>
          </w:tcPr>
          <w:p>
            <w:pPr>
              <w:spacing w:after="0"/>
              <w:ind w:firstLine="0"/>
              <w:jc w:val="center"/>
            </w:pPr>
            <w:r>
              <w:rPr>
                <w:rFonts w:ascii="Times New Roman" w:hAnsi="Times New Roman" w:eastAsia="Times New Roman"/>
                <w:sz w:val="14"/>
              </w:rPr>
              <w:t>Tanpa desain temporal atau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PhishTank dengan benign independen</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evaluasi eksternal lintas sumber (Subbagian 4.6)</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pada domain ini lebih tipis daripada literatur klasifikasi.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satu arah dengan ekstraktor, model, dan ambang yang tidak disesuaikan pada target dilaporkan secara terbatas pada pasangan korpus PhiUSIIL dan PhreshPhish.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yang dilatih hanya pada PhiUSIIL menuju kohort uji PhreshPhish tanpa retraining, kalibrasi, atau penyetelan ambang.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PhiUSIIL→PhreshPhish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yang dapat direproduksi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bersifat deterministik terhadap seed yang dicatat, dan setiap angka yang dilaporkan pada Bagian 3 berasal dari berkas hasil yang tersimpan, bukan dari pengukuran ulang secara manual.</w:t>
      </w:r>
      <w:r>
        <w:rPr>
          <w:rFonts w:ascii="Times New Roman" w:hAnsi="Times New Roman" w:eastAsia="Times New Roman"/>
          <w:sz w:val="19"/>
        </w:rPr>
        <w:t xml:space="preserve"> Pernyataan determinisme penuh tidak diverifikasi melalui artefak; yang dicatat adalah konfigurasi dan seed untuk replikasi.</w:t>
      </w:r>
    </w:p>
    <w:p>
      <w:pPr>
        <w:spacing w:after="60"/>
        <w:ind w:firstLine="283"/>
        <w:jc w:val="both"/>
      </w:pPr>
      <w:r>
        <w:rPr>
          <w:rFonts w:ascii="Times New Roman" w:hAnsi="Times New Roman" w:eastAsia="Times New Roman"/>
          <w:sz w:val="19"/>
        </w:rPr>
        <w:t>Jumlah kecocokan model utama yang dilaporkan adalah 85 kecocokan terpilih: 60 kecocokan benchmark PhiUSIIL, 10 kecocokan evaluasi temporal PhreshPhish, 10 kecocokan transfer lintas-korpus (2 model × 5 seed), dan 5 kecocokan LightGBM untuk evaluasi ambang operasional. Angka 85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Eksperimen transfer membekukan ekstraktor A2, urutan 18 fitur, model, dan ambang 0,5 setelah pelatihan pada PhiUSIIL. PhreshPhish hanya digunakan sebagai target evaluasi; tidak ada retraining, kalibrasi, atau pemilihan ambang berbasis target.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mengacu pada nilai tak-terbulatkan, bukan pada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melatih model hanya pada PhiUSIIL dan menggunakan kohort uji PhreshPhish sebagai target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dan karena biaya komputasinya memungkinkan pengulangan lima seed.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Titik estimasi pada perbandingan itu adalah nilai model seed 42, bukan rerata lima seed pada Tabel 4, sehingga selisih pada Tabel 5 dan selisih rerata pada Tabel 4 memang berbeda dan tidak boleh dibandingkan langsung. Seed 42 di sini berperan sebagai seed model, sedangkan seed 42 pada bootstrap berperan sebagai seed RNG resampling; keduanya kebetulan bernilai sama tetapi berperan berbeda.</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di atas 0,988,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0,000163 sampai 0,001178 dalam F1, bergantung pada model dan konfigurasi. Untuk A0/LightGBM selisihnya 0,000203; untuk A0/XGBoost 0,000163. Interval kepercayaan 95 % berbasis t (df = 4) pada masing-masing protokol dilaporkan untuk menunjukkan variasi lintas seed, bukan untuk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r>
        <w:rPr>
          <w:rFonts w:ascii="Times New Roman" w:hAnsi="Times New Roman" w:eastAsia="Times New Roman"/>
          <w:sz w:val="19"/>
        </w:rPr>
        <w:t xml:space="preserve"> Nilai interval tersebut tersimpan pada berkas metrik per seed dan tidak ditabulasikan dalam artikel ini.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di atas 0,988,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dapat berdampak lebih besar terhadap beban investigasi analis daripada penurunan recall pada orde yang sama, tetapi besaran beban yang sebenarnya bergantung pada jumlah baris benign dan phishing, prevalensi, aturan tindak lanjut, dan biaya per investigasi, yang tidak dimodelkan di sini.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Spesifikasi perangkat keras dan jumlah thread tidak dicatat pada artefak, sehingga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Perlu ditegaskan bahwa rancangan ini menguji </w:t>
      </w:r>
      <w:r>
        <w:rPr>
          <w:rFonts w:ascii="Times New Roman" w:hAnsi="Times New Roman" w:eastAsia="Times New Roman"/>
          <w:b/>
          <w:sz w:val="19"/>
        </w:rPr>
        <w:t>kelompok</w:t>
      </w:r>
      <w:r>
        <w:rPr>
          <w:rFonts w:ascii="Times New Roman" w:hAnsi="Times New Roman" w:eastAsia="Times New Roman"/>
          <w:sz w:val="19"/>
        </w:rPr>
        <w:t xml:space="preserve"> fitur. Enam fitur dihapus bersamaan, sehingga tidak ada identifikasi fitur mana di dalam kelompok yang bertanggung jawab. Klaim yang sah adalah "kelompok fitur konten menyumbang sekitar 0,001 F1 pada protokol </w:t>
      </w:r>
      <w:r>
        <w:rPr>
          <w:rFonts w:ascii="Times New Roman" w:hAnsi="Times New Roman" w:eastAsia="Times New Roman"/>
          <w:i/>
          <w:sz w:val="19"/>
        </w:rPr>
        <w:t>site-disjoint</w:t>
      </w:r>
      <w:r>
        <w:rPr>
          <w:rFonts w:ascii="Times New Roman" w:hAnsi="Times New Roman" w:eastAsia="Times New Roman"/>
          <w:sz w:val="19"/>
        </w:rPr>
        <w:t xml:space="preserve">", bukan "fitur X menyumbang sekian". Untuk mengidentifikasi kontribusi per fitur diperlukan desain </w:t>
      </w:r>
      <w:r>
        <w:rPr>
          <w:rFonts w:ascii="Times New Roman" w:hAnsi="Times New Roman" w:eastAsia="Times New Roman"/>
          <w:i/>
          <w:sz w:val="19"/>
        </w:rPr>
        <w:t>leave-one-feature-out</w:t>
      </w:r>
      <w:r>
        <w:rPr>
          <w:rFonts w:ascii="Times New Roman" w:hAnsi="Times New Roman" w:eastAsia="Times New Roman"/>
          <w:sz w:val="19"/>
        </w:rPr>
        <w:t xml:space="preserve"> terpisah, yang tidak dijalankan di sini.</w:t>
      </w:r>
      <w:r>
        <w:rPr>
          <w:rFonts w:ascii="Times New Roman" w:hAnsi="Times New Roman" w:eastAsia="Times New Roman"/>
          <w:sz w:val="19"/>
        </w:rPr>
        <w:t xml:space="preserve"> Selisih rerata A1−A0 lintas lima seed pada Tabel 4 untuk F1 adalah −0,000568,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13,48 %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sebagian menjelaskan mengapa angka agregat tidak dapat dipakai untuk menyimpulkan tren, meskipun TPR dan FPR tidak dijamin konstan antarbulan sehingga prevalensi bukan satu-satunya faktor.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dua sumber perancu. Pertama, faktor temporal: periode uji berasal dari waktu yang lebih akhir daripada periode latih. Kedua, faktor populasi dan vendor: korpus PhreshPhish dikumpulkan melalui pipeline dan vendor yang berbeda dari PhiUSIIL, sehingga perbedaan distribusi dapat berasal dari perbedaan sumber pengumpulan, bukan dari perubahan perilaku penyerang seiring waktu. Kedua sumber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t xml:space="preserve"> Perlu ditegaskan bahwa perbedaan vendor dan pipeline merupakan perancu perbandingan lintas korpus PhiUSIIL–PhreshPhish, bukan perancu perbandingan antarbulan di dalam PhreshPhish, karena seluruh blok temporal PhreshPhish berasal dari sumber pengumpulan yang sama.</w:t>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dari PhiUSIIL ke PhreshPhish tanpa adaptasi. Tabel 7 memperlihatkan hasil seed 42. Referensi dalam-domain PhiUSIIL tetap mendekati plafon untuk kedua model, tetapi perilaku berubah tajam pada target.</w:t>
      </w:r>
    </w:p>
    <w:p>
      <w:pPr>
        <w:keepNext/>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Baris target tidak menggunakan fitting atau penyetelan pada PhreshPhish.</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ekstraktor dan himpunan fitur sama serta pipeline target benar-benar dibekukan.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0,000163</w:t>
            </w:r>
          </w:p>
        </w:tc>
        <w:tc>
          <w:tcPr>
            <w:tcW w:type="dxa" w:w="3118"/>
          </w:tcPr>
          <w:p>
            <w:pPr>
              <w:jc w:val="left"/>
            </w:pPr>
            <w:r>
              <w:rPr>
                <w:rFonts w:ascii="Times New Roman" w:hAnsi="Times New Roman"/>
                <w:sz w:val="14"/>
              </w:rPr>
              <w:t>results_random.csv; results_sitedisjoint.csv</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results_random.csv; results_sitedisjoint.csv</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AUC tunggal tiga kolom A0 (URLSimilarityIndex; LineOfCode; NoOfExternalRef)</w:t>
            </w:r>
          </w:p>
        </w:tc>
        <w:tc>
          <w:tcPr>
            <w:tcW w:type="dxa" w:w="3118"/>
          </w:tcPr>
          <w:p>
            <w:pPr>
              <w:jc w:val="left"/>
            </w:pPr>
            <w:r>
              <w:rPr>
                <w:rFonts w:ascii="Times New Roman" w:hAnsi="Times New Roman"/>
                <w:sz w:val="14"/>
              </w:rPr>
              <w:t>0,9961; 0,9903; 0,9880</w:t>
            </w:r>
          </w:p>
        </w:tc>
        <w:tc>
          <w:tcPr>
            <w:tcW w:type="dxa" w:w="3118"/>
          </w:tcPr>
          <w:p>
            <w:pPr>
              <w:jc w:val="left"/>
            </w:pPr>
            <w:r>
              <w:rPr>
                <w:rFonts w:ascii="Times New Roman" w:hAnsi="Times New Roman"/>
                <w:sz w:val="14"/>
              </w:rPr>
              <w:t>phiusiil_leakage_audit.md</w:t>
            </w:r>
          </w:p>
        </w:tc>
      </w:tr>
      <w:tr>
        <w:tc>
          <w:tcPr>
            <w:tcW w:type="dxa" w:w="3118"/>
          </w:tcPr>
          <w:p>
            <w:pPr>
              <w:jc w:val="left"/>
            </w:pPr>
            <w:r>
              <w:rPr>
                <w:rFonts w:ascii="Times New Roman" w:hAnsi="Times New Roman"/>
                <w:sz w:val="14"/>
              </w:rPr>
              <w:t>Registrable domain unik dan baris ber-alamat IP pada PhiUSIIL</w:t>
            </w:r>
          </w:p>
        </w:tc>
        <w:tc>
          <w:tcPr>
            <w:tcW w:type="dxa" w:w="3118"/>
          </w:tcPr>
          <w:p>
            <w:pPr>
              <w:jc w:val="left"/>
            </w:pPr>
            <w:r>
              <w:rPr>
                <w:rFonts w:ascii="Times New Roman" w:hAnsi="Times New Roman"/>
                <w:sz w:val="14"/>
              </w:rPr>
              <w:t>175.509; 636</w:t>
            </w:r>
          </w:p>
        </w:tc>
        <w:tc>
          <w:tcPr>
            <w:tcW w:type="dxa" w:w="3118"/>
          </w:tcPr>
          <w:p>
            <w:pPr>
              <w:jc w:val="left"/>
            </w:pPr>
            <w:r>
              <w:rPr>
                <w:rFonts w:ascii="Times New Roman" w:hAnsi="Times New Roman"/>
                <w:sz w:val="14"/>
              </w:rPr>
              <w:t>phiusiil_leakage_audit.md</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di atas 0,988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Ablasi kelompok fitur konten menunjukkan penurunan F1 terukur dengan interval bootstrap F1 berpasangan yang tidak memuat nol untuk LightGBM maupun XGBoost; besar efeknya sekitar seperseribu F1. Pada rata-rata partisi uji 44.213,6 baris, jumlah kesalahan A0→A1 meningkat dari 12,8 menjadi 32,2 pada LightGBM dan dari 10,4 menjadi 39,0 pada XGBoost. Perbandingan ini menunjukkan perbedaan antara keterdeteksian statistik dan besar efek. Skor A0 mendekati satu pada benchmark ini, tetapi kontras kelompok tersebut tidak mengidentifikasi mengapa benchmark tersaturasi.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satu arah transfer,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di atas 0,988.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sepanjang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dan diarsipkan dengan DOI konsep 10.5281/zenodo.23847784, dengan MANIFEST.sha256 untuk verifikasi independen; DOI konsep tersebut selalu menunjuk rilis terbaru. Penghitungan ulang artefak yang dikecualikan memerlukan run_temporal.py, design.json, dan seed yang tercatat.</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Split resmi train/test dipakai apa adanya, bukan dibentuk ulang.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Nilai sumber berupa string benign/phish dan dipetakan ke 0/1; pipeline menolak nilai label di luar himpunan itu, sehingga tidak ada label di luar domain yang masuk.</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src/features.py dengan SHA-256 c98b119c72c77df225bd21b7f803c367b71a934630622b3349ddecf349dc5864; dihitung deterministik per URL tanpa fitur halaman.</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Spesifikasi perangkat keras dan jumlah thread tidak dicatat pada artefak; angka waktu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15</Pages>
  <Words>9833</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