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le"/>
        <w:spacing w:after="80"/>
        <w:ind w:firstLine="0"/>
        <w:jc w:val="center"/>
      </w:pPr>
      <w:r>
        <w:rPr>
          <w:rFonts w:ascii="Times New Roman" w:hAnsi="Times New Roman" w:eastAsia="Times New Roman"/>
          <w:b/>
          <w:sz w:val="28"/>
        </w:rPr>
        <w:t>Audit Generalisasi Deteksi Phishing URL: Saturasi Benchmark pada PhiUSIIL, Evaluasi Temporal, dan Transfer Lintas-Korpus ke PhreshPhish</w:t>
      </w:r>
    </w:p>
    <w:p>
      <w:pPr>
        <w:spacing w:after="60"/>
        <w:ind w:firstLine="0"/>
        <w:jc w:val="center"/>
      </w:pPr>
      <w:r>
        <w:rPr>
          <w:rFonts w:ascii="Times New Roman" w:hAnsi="Times New Roman" w:eastAsia="Times New Roman"/>
          <w:b/>
          <w:i/>
          <w:sz w:val="20"/>
        </w:rPr>
        <w:t>Auditing Phishing URL Detection Generalization: Benchmark Saturation on PhiUSIIL, Temporal Evaluation, and Cross-Corpus Transfer to PhreshPhish</w:t>
      </w:r>
    </w:p>
    <w:p>
      <w:pPr>
        <w:spacing w:after="60"/>
        <w:ind w:firstLine="0"/>
        <w:jc w:val="center"/>
      </w:pPr>
      <w:r>
        <w:rPr>
          <w:rFonts w:ascii="Times New Roman" w:hAnsi="Times New Roman" w:eastAsia="Times New Roman"/>
          <w:sz w:val="18"/>
        </w:rPr>
        <w:t>[Nama Penulis 1]¹, [Nama Penulis 2]¹, [Nama Penulis 3]²*</w:t>
      </w:r>
    </w:p>
    <w:p>
      <w:pPr>
        <w:spacing w:after="60"/>
        <w:ind w:firstLine="0"/>
        <w:jc w:val="center"/>
      </w:pPr>
      <w:r>
        <w:rPr>
          <w:rFonts w:ascii="Times New Roman" w:hAnsi="Times New Roman" w:eastAsia="Times New Roman"/>
          <w:sz w:val="18"/>
        </w:rPr>
        <w:t>¹[Program Studi], [Fakultas], [Nama Institusi], [Kota], Indonesia</w:t>
      </w:r>
    </w:p>
    <w:p>
      <w:pPr>
        <w:spacing w:after="60"/>
        <w:ind w:firstLine="0"/>
        <w:jc w:val="center"/>
      </w:pPr>
      <w:r>
        <w:rPr>
          <w:rFonts w:ascii="Times New Roman" w:hAnsi="Times New Roman" w:eastAsia="Times New Roman"/>
          <w:sz w:val="18"/>
        </w:rPr>
        <w:t>²[Program Studi], [Fakultas], [Nama Institusi], [Kota], Indonesia</w:t>
      </w:r>
    </w:p>
    <w:p>
      <w:pPr>
        <w:spacing w:after="60"/>
        <w:ind w:firstLine="0"/>
        <w:jc w:val="center"/>
      </w:pPr>
      <w:r>
        <w:rPr>
          <w:rFonts w:ascii="Times New Roman" w:hAnsi="Times New Roman" w:eastAsia="Times New Roman"/>
          <w:sz w:val="18"/>
        </w:rPr>
        <w:t>Email: [email penulis 1], [email penulis 2], *[email penulis korespondensi]</w:t>
      </w:r>
    </w:p>
    <w:p>
      <w:pPr>
        <w:spacing w:after="60"/>
        <w:ind w:firstLine="0"/>
        <w:jc w:val="center"/>
      </w:pPr>
      <w:r>
        <w:rPr>
          <w:rFonts w:ascii="Times New Roman" w:hAnsi="Times New Roman" w:eastAsia="Times New Roman"/>
          <w:sz w:val="18"/>
        </w:rPr>
        <w:t>Email Penulis Korespondensi: [email penulis korespondensi] (sesuai tanda bintang pada susunan penulis)</w:t>
      </w:r>
    </w:p>
    <w:p>
      <w:pPr>
        <w:spacing w:after="60"/>
        <w:ind w:firstLine="0"/>
        <w:jc w:val="center"/>
      </w:pPr>
      <w:r>
        <w:rPr>
          <w:rFonts w:ascii="Times New Roman" w:hAnsi="Times New Roman" w:eastAsia="Times New Roman"/>
          <w:sz w:val="18"/>
        </w:rPr>
        <w:t>[Tanggal penerimaan, revisi, penerimaan terbit, dan tanggal terbit diisi oleh editor]</w:t>
      </w:r>
    </w:p>
    <w:p>
      <w:pPr>
        <w:pStyle w:val="Heading1"/>
        <w:ind w:firstLine="0"/>
        <w:jc w:val="center"/>
      </w:pPr>
      <w:r>
        <w:rPr>
          <w:rFonts w:ascii="Times New Roman" w:hAnsi="Times New Roman" w:eastAsia="Times New Roman"/>
          <w:sz w:val="21"/>
        </w:rPr>
        <w:t>Abstrak</w:t>
      </w:r>
    </w:p>
    <w:p>
      <w:pPr>
        <w:spacing w:after="60"/>
        <w:ind w:firstLine="283"/>
        <w:jc w:val="both"/>
      </w:pPr>
      <w:r>
        <w:rPr>
          <w:rFonts w:ascii="Times New Roman" w:hAnsi="Times New Roman" w:eastAsia="Times New Roman"/>
          <w:sz w:val="19"/>
        </w:rPr>
        <w:t xml:space="preserve">Kami menguji bagaimana hasil deteksi phishing URL berubah ketika unit pembagian, waktu, dan korpus berbeda menggunakan dua dataset phishing URL. Desain mencakup audit keterpulihan label, pembagian acak dan </w:t>
      </w:r>
      <w:r>
        <w:rPr>
          <w:rFonts w:ascii="Times New Roman" w:hAnsi="Times New Roman" w:eastAsia="Times New Roman"/>
          <w:i/>
          <w:sz w:val="19"/>
        </w:rPr>
        <w:t>site-disjoint</w:t>
      </w:r>
      <w:r>
        <w:rPr>
          <w:rFonts w:ascii="Times New Roman" w:hAnsi="Times New Roman" w:eastAsia="Times New Roman"/>
          <w:sz w:val="19"/>
        </w:rPr>
        <w:t xml:space="preserve">, ablasi kelompok fitur, evaluasi temporal dalam-korpus pada PhreshPhish, transfer A2 </w:t>
      </w:r>
      <w:r>
        <w:rPr>
          <w:rFonts w:ascii="Times New Roman" w:hAnsi="Times New Roman" w:eastAsia="Times New Roman"/>
          <w:i/>
          <w:sz w:val="19"/>
        </w:rPr>
        <w:t>zero-shot</w:t>
      </w:r>
      <w:r>
        <w:rPr>
          <w:rFonts w:ascii="Times New Roman" w:hAnsi="Times New Roman" w:eastAsia="Times New Roman"/>
          <w:sz w:val="19"/>
        </w:rPr>
        <w:t xml:space="preserve"> tanpa adaptasi, pemilihan ambang hanya pada validasi, dan analisis galat deskriptif. Pada PhiUSIIL, A0/LightGBM mencapai F1 0,999623 pada pembagian </w:t>
      </w:r>
      <w:r>
        <w:rPr>
          <w:rFonts w:ascii="Times New Roman" w:hAnsi="Times New Roman" w:eastAsia="Times New Roman"/>
          <w:i/>
          <w:sz w:val="19"/>
        </w:rPr>
        <w:t>site-disjoint</w:t>
      </w:r>
      <w:r>
        <w:rPr>
          <w:rFonts w:ascii="Times New Roman" w:hAnsi="Times New Roman" w:eastAsia="Times New Roman"/>
          <w:sz w:val="19"/>
        </w:rPr>
        <w:t>; dua fitur yang dipertahankan masing-masing memiliki AUC tunggal sekitar 0,988 atau lebih, konsisten dengan saturasi benchmark deskriptif tetapi tidak mengidentifikasi peny</w:t>
      </w:r>
      <w:r>
        <w:rPr>
          <w:rFonts w:ascii="Times New Roman" w:hAnsi="Times New Roman" w:eastAsia="Times New Roman"/>
          <w:i/>
          <w:sz w:val="19"/>
        </w:rPr>
        <w:t>ebabnya</w:t>
      </w:r>
      <w:r>
        <w:rPr>
          <w:rFonts w:ascii="Times New Roman" w:hAnsi="Times New Roman" w:eastAsia="Times New Roman"/>
          <w:sz w:val="19"/>
        </w:rPr>
        <w:t xml:space="preserve">. Pada PhreshPhish, A2/LightGBM mencapai rerata F1 temporal 0,800461. A2/LightGBM yang dilatih hanya pada PhiUSIIL mencapai F1 0,599064, FPR benign 0,986478, ROC-AUC 0,382566, dan MCC −0,146445 pada 168.035 URL PhreshPhish, dibandingkan F1 sumber 0,995985; pada arah sebaliknya, model yang dilatih pada blok fit PhreshPhish dan diuji pada 235.370 URL PhiUSIIL mencapai F1 0,549564, FPR benign 0,897783, ROC-AUC 0,642939, dan MCC −0,092320. Temuan ini menggambarkan portabilitas pada pasangan yang diuji dan tidak menentukan penyebab temporal. Partisi uji temporal telah diperiksa dalam pekerjaan eksploratif sebelumnya sehingga bukan holdout buta atau prospektif. Dalam refit temporal terpisah, ambang 0,884705 yang dipilih untuk memenuhi FPR validasi ≤1% menghasilkan FPR uji 1,1352% dan recall 0,5440, dibandingkan 7,6497% dan 0,7380 pada ambang 0,5. Analisis galat menemukan 37,1% dari seluruh </w:t>
      </w:r>
      <w:r>
        <w:rPr>
          <w:rFonts w:ascii="Times New Roman" w:hAnsi="Times New Roman" w:eastAsia="Times New Roman"/>
          <w:i/>
          <w:sz w:val="19"/>
        </w:rPr>
        <w:t>FN</w:t>
      </w:r>
      <w:r>
        <w:rPr>
          <w:rFonts w:ascii="Times New Roman" w:hAnsi="Times New Roman" w:eastAsia="Times New Roman"/>
          <w:sz w:val="19"/>
        </w:rPr>
        <w:t xml:space="preserve"> pada kategori host platform dan FPR 21,8% pada URL benign ≤30 karakter; kategori tumpang tindih ini bersifat deskriptif dan ketidakpastian klaster platform tidak terverifikasi. Kontribusi artikel adalah perbandingan yang dapat diaudit atas saturasi benchmark, evaluasi temporal, transfer lintas-korpus dua arah, trade-off ambang, dan pola galat deskriptif; bukan model baru atau </w:t>
      </w:r>
      <w:r>
        <w:rPr>
          <w:rFonts w:ascii="Times New Roman" w:hAnsi="Times New Roman" w:eastAsia="Times New Roman"/>
          <w:i/>
          <w:sz w:val="19"/>
        </w:rPr>
        <w:t>klaim state-of-the-art</w:t>
      </w:r>
      <w:r>
        <w:rPr>
          <w:rFonts w:ascii="Times New Roman" w:hAnsi="Times New Roman" w:eastAsia="Times New Roman"/>
          <w:sz w:val="19"/>
        </w:rPr>
        <w:t>.</w:t>
      </w:r>
    </w:p>
    <w:p>
      <w:pPr>
        <w:spacing w:after="60"/>
        <w:ind w:firstLine="0"/>
        <w:jc w:val="both"/>
      </w:pPr>
      <w:r>
        <w:rPr>
          <w:rFonts w:ascii="Times New Roman" w:hAnsi="Times New Roman" w:eastAsia="Times New Roman"/>
          <w:b/>
          <w:sz w:val="17"/>
        </w:rPr>
        <w:t>Kata kunci:</w:t>
      </w:r>
      <w:r>
        <w:rPr>
          <w:rFonts w:ascii="Times New Roman" w:hAnsi="Times New Roman" w:eastAsia="Times New Roman"/>
          <w:sz w:val="17"/>
        </w:rPr>
        <w:t xml:space="preserve"> deteksi phishing URL, generalisasi lintas-korpus, evaluasi temporal, saturasi benchmark, pemilihan ambang, analisis galat, PhiUSIIL, PhreshPhish</w:t>
      </w:r>
    </w:p>
    <w:p>
      <w:pPr>
        <w:pStyle w:val="Heading1"/>
        <w:ind w:firstLine="0"/>
        <w:jc w:val="center"/>
      </w:pPr>
      <w:r>
        <w:rPr>
          <w:rFonts w:ascii="Times New Roman" w:hAnsi="Times New Roman" w:eastAsia="Times New Roman"/>
          <w:sz w:val="21"/>
        </w:rPr>
        <w:t>Abstract</w:t>
      </w:r>
    </w:p>
    <w:p>
      <w:pPr>
        <w:spacing w:after="60"/>
        <w:ind w:firstLine="283"/>
        <w:jc w:val="both"/>
      </w:pPr>
      <w:r>
        <w:rPr>
          <w:rFonts w:ascii="Times New Roman" w:hAnsi="Times New Roman" w:eastAsia="Times New Roman"/>
          <w:sz w:val="19"/>
        </w:rPr>
        <w:t>We examine how phishing URL detection results vary across split unit, time, and corpus using two phishing-URL datasets. The study combines a label-recoverability audit, random and site-disjoint splits, grouped feature ablation, within-corpus temporal evaluation on PhreshPhish, two-direction frozen A2 zero-shot transfer, validation-only threshold selection, and descriptive error analysis. On PhiUSIIL, A0/LightGBM achieved site-disjoint F1 0.999623; two retained features each had single-feature AUC of about 0.988 or more, consistent with descriptive benchmark saturation but not identifying its cause. PhreshPhish temporal A2/LightGBM achieved mean F1 0.800461. A2/LightGBM trained only on PhiUSIIL achieved F1 0.599064, benign FPR 0.986478, ROC-AUC 0.382566, and MCC −0.146445 on 168,035 PhreshPhish URLs, compared with source-domain F1 0.995985; in the reverse direction, training on the PhreshPhish fit block and testing on 235,370 PhiUSIIL URLs achieved F1 0.549564, benign FPR 0.897783, ROC-AUC 0.642939, and MCC −0.092320. These results describe portability on the tested pair and do not identify a temporal cause. The temporal test partition had previously been inspected in exploratory work and was not a blind or prospective holdout. In a separate temporal refit, threshold 0.884705 selected to meet validation FPR ≤1% yielded test FPR 1.1352% and recall 0.5440, compared with 7.6497% and 0.7380 at threshold 0.5. Error analysis found 37.1% of all false negatives in the hosting-platform category and 21.8% FPR among benign URLs ≤30 characters; these overlapping categories are descriptive, and platform-cluster uncertainty was not verified. The contribution is an auditable comparison of benchmark saturation, temporal evaluation, two-direction cross-corpus transfer, threshold trade-offs, and descriptive error patterns, not a new model or state-of-the-art claim.</w:t>
      </w:r>
    </w:p>
    <w:p>
      <w:pPr>
        <w:spacing w:after="60"/>
        <w:ind w:firstLine="0"/>
        <w:jc w:val="both"/>
      </w:pPr>
      <w:r>
        <w:rPr>
          <w:rFonts w:ascii="Times New Roman" w:hAnsi="Times New Roman" w:eastAsia="Times New Roman"/>
          <w:b/>
          <w:sz w:val="17"/>
        </w:rPr>
        <w:t>Keywords:</w:t>
      </w:r>
      <w:r>
        <w:rPr>
          <w:rFonts w:ascii="Times New Roman" w:hAnsi="Times New Roman" w:eastAsia="Times New Roman"/>
          <w:sz w:val="17"/>
        </w:rPr>
        <w:t xml:space="preserve"> phishing URL detection, cross-corpus generalization, temporal evaluation, benchmark saturation, threshold selection, error analysis, PhiUSIIL, PhreshPhish</w:t>
      </w:r>
    </w:p>
    <w:p>
      <w:pPr>
        <w:pStyle w:val="Heading1"/>
        <w:ind w:firstLine="0"/>
        <w:jc w:val="center"/>
      </w:pPr>
      <w:r>
        <w:rPr>
          <w:rFonts w:ascii="Times New Roman" w:hAnsi="Times New Roman" w:eastAsia="Times New Roman"/>
          <w:sz w:val="21"/>
        </w:rPr>
        <w:t>1. PENDAHULUAN</w:t>
      </w:r>
    </w:p>
    <w:p>
      <w:pPr>
        <w:spacing w:after="60"/>
        <w:ind w:firstLine="283"/>
        <w:jc w:val="both"/>
      </w:pPr>
      <w:r>
        <w:rPr>
          <w:rFonts w:ascii="Times New Roman" w:hAnsi="Times New Roman" w:eastAsia="Times New Roman"/>
          <w:sz w:val="19"/>
        </w:rPr>
        <w:t>Phishing URL merupakan masalah klasifikasi yang sangat dipengaruhi oleh cara dataset dikumpulkan dan dibagi. Literatur metodologis telah memperingatkan bahwa rancangan dataset, ketidakmandirian sampel, dan kebocoran antarlatih-uji dapat menghasilkan estimasi yang terlalu optimistis [3], [5], [6]. PhishBench juga menunjukkan pentingnya kondisi pembandingan yang seragam, rasio kelas, dan evaluasi pada dataset yang beragam [4]. Dalam konteks phishing, validitas temporal dan pilihan dataset turut membatasi arti angka evaluasi yang dilaporkan [7], [8].</w:t>
      </w:r>
      <w:r>
        <w:rPr>
          <w:rFonts w:ascii="Times New Roman" w:hAnsi="Times New Roman" w:eastAsia="Times New Roman"/>
          <w:sz w:val="19"/>
        </w:rPr>
        <w:t xml:space="preserve"> Pengalaman pada klasifikasi malware menunjukkan bahwa skor F1 yang dilaporkan mendekati 0,99 dapat berasal dari bias spasial dan temporal pada rancangan eksperimen, bukan dari kemampuan model yang sebenarnya [13].</w:t>
      </w:r>
    </w:p>
    <w:p>
      <w:pPr>
        <w:spacing w:after="60"/>
        <w:ind w:firstLine="283"/>
        <w:jc w:val="both"/>
      </w:pPr>
      <w:r>
        <w:rPr>
          <w:rFonts w:ascii="Times New Roman" w:hAnsi="Times New Roman" w:eastAsia="Times New Roman"/>
          <w:sz w:val="19"/>
        </w:rPr>
        <w:t>Pembagian acak pada tingkat baris tidak menjamin bahwa entitas yang mendasari sampel telah terpisah. URL uji dapat berbagi registrable domain atau pola kampanye dengan URL latih, sehingga angka uji dapat mencampur generalisasi ke entitas baru dengan pengenalan entitas yang telah terlihat. Sebaliknya, pemisahan berdasarkan registrable domain juga bukan solusi sempurna: platform multi-tenant dapat menggabungkan banyak penyewa independen ke dalam satu kunci domain. Karena itu, protokol dan granularitas kelompok harus diperlakukan sebagai bagian dari klaim penelitian, bukan sekadar detail implementasi [3], [5].</w:t>
      </w:r>
      <w:r>
        <w:rPr>
          <w:rFonts w:ascii="Times New Roman" w:hAnsi="Times New Roman" w:eastAsia="Times New Roman"/>
          <w:sz w:val="19"/>
        </w:rPr>
        <w:t xml:space="preserve"> Pada sisi waktu, deteksi drift konsep menunjukkan bahwa model dapat menua selama penerapan sebelum penurunan kinerja terukur [14], dan evaluasi ulang terhadap pendekatan itu menegaskan bahwa kesimpulan tentang drift bergantung pada protokol pemisahan waktu [15].</w:t>
      </w:r>
    </w:p>
    <w:p>
      <w:pPr>
        <w:spacing w:after="60"/>
        <w:ind w:firstLine="283"/>
        <w:jc w:val="both"/>
      </w:pPr>
      <w:r>
        <w:rPr>
          <w:rFonts w:ascii="Times New Roman" w:hAnsi="Times New Roman" w:eastAsia="Times New Roman"/>
          <w:sz w:val="19"/>
        </w:rPr>
        <w:t>Studi lintas-dataset menunjukkan bahwa keandalan fitur phishing tidak otomatis berpindah ke dataset lain [9]. PhreshPhish secara khusus dibangun untuk mengurangi duplikasi dan kebocoran serta menyediakan informasi temporal, sekaligus menyoroti base rate yang lebih realistis [2]. Sementara itu, studi pada venue BITS telah melaporkan klasifikasi URL dengan SVM dan XGBoost [11], [12], tetapi artikel ini mengambil posisi berbeda: bukan mengusulkan pengklasifikasi baru, melainkan menguji seberapa banyak kesimpulan berubah setelah struktur domain, kelompok fitur, dan waktu diperhatikan.</w:t>
      </w:r>
    </w:p>
    <w:p>
      <w:pPr>
        <w:pStyle w:val="Heading2"/>
        <w:ind w:firstLine="0"/>
        <w:jc w:val="left"/>
      </w:pPr>
      <w:r>
        <w:rPr>
          <w:rFonts w:ascii="Times New Roman" w:hAnsi="Times New Roman" w:eastAsia="Times New Roman"/>
          <w:sz w:val="20"/>
        </w:rPr>
        <w:t xml:space="preserve">1.1 Posisi Penelitian terhadap </w:t>
      </w:r>
      <w:r>
        <w:rPr>
          <w:rFonts w:ascii="Times New Roman" w:hAnsi="Times New Roman" w:eastAsia="Times New Roman"/>
          <w:i/>
          <w:sz w:val="20"/>
        </w:rPr>
        <w:t>Related Work</w:t>
      </w:r>
    </w:p>
    <w:p>
      <w:pPr>
        <w:spacing w:after="60"/>
        <w:ind w:firstLine="283"/>
        <w:jc w:val="both"/>
      </w:pPr>
      <w:r>
        <w:rPr>
          <w:rFonts w:ascii="Times New Roman" w:hAnsi="Times New Roman" w:eastAsia="Times New Roman"/>
          <w:sz w:val="19"/>
        </w:rPr>
        <w:t>Tabel 1 membandingkan desain evaluasi tiap kelompok literatur dan batas pemakaiannya dalam penelitian ini. Kolom batas tidak digunakan untuk menyatakan bahwa studi terdahulu "tidak melakukan" suatu eksperimen tanpa bukti; kolom itu hanya menjelaskan sejauh mana sumber tersebut dipakai untuk menopang klaim artikel ini. Isian "tidak dilaporkan pada abstrak" berarti informasi tersebut tidak tersedia pada sumber yang diperiksa, bukan berarti studi tidak melakukannya.</w:t>
      </w:r>
    </w:p>
    <w:p>
      <w:pPr>
        <w:keepNext/>
        <w:spacing w:after="60"/>
        <w:ind w:firstLine="0"/>
        <w:jc w:val="center"/>
      </w:pPr>
      <w:r>
        <w:rPr>
          <w:rFonts w:ascii="Times New Roman" w:hAnsi="Times New Roman" w:eastAsia="Times New Roman"/>
          <w:b/>
          <w:sz w:val="17"/>
        </w:rPr>
        <w:t>Tabel 1. Perbandingan desain evaluasi dan batas pemakaian literatur utama.</w:t>
      </w:r>
    </w:p>
    <w:tbl>
      <w:tblPr>
        <w:tblStyle w:val="TableGrid"/>
        <w:tblW w:type="auto" w:w="0"/>
        <w:jc w:val="center"/>
        <w:tblLayout w:type="autofit"/>
        <w:tblLook w:firstColumn="1" w:firstRow="1" w:lastColumn="0" w:lastRow="0" w:noHBand="0" w:noVBand="1" w:val="04A0"/>
      </w:tblPr>
      <w:tblGrid>
        <w:gridCol w:w="2338"/>
        <w:gridCol w:w="2338"/>
        <w:gridCol w:w="2338"/>
        <w:gridCol w:w="2338"/>
      </w:tblGrid>
      <w:tr>
        <w:trPr>
          <w:cantSplit/>
          <w:tblHeader w:val="true"/>
        </w:trPr>
        <w:tc>
          <w:tcPr>
            <w:tcW w:type="dxa" w:w="2338"/>
            <w:vAlign w:val="center"/>
          </w:tcPr>
          <w:p>
            <w:pPr>
              <w:spacing w:after="0"/>
              <w:ind w:firstLine="0"/>
              <w:jc w:val="center"/>
            </w:pPr>
            <w:r>
              <w:rPr>
                <w:rFonts w:ascii="Times New Roman" w:hAnsi="Times New Roman" w:eastAsia="Times New Roman"/>
                <w:b/>
                <w:sz w:val="14"/>
              </w:rPr>
              <w:t>Sumber</w:t>
            </w:r>
          </w:p>
        </w:tc>
        <w:tc>
          <w:tcPr>
            <w:tcW w:type="dxa" w:w="2338"/>
            <w:vAlign w:val="center"/>
          </w:tcPr>
          <w:p>
            <w:pPr>
              <w:spacing w:after="0"/>
              <w:ind w:firstLine="0"/>
              <w:jc w:val="center"/>
            </w:pPr>
            <w:r>
              <w:rPr>
                <w:rFonts w:ascii="Times New Roman" w:hAnsi="Times New Roman" w:eastAsia="Times New Roman"/>
                <w:b/>
                <w:sz w:val="14"/>
              </w:rPr>
              <w:t>Korpus, domain, dan unit pembagian</w:t>
            </w:r>
          </w:p>
        </w:tc>
        <w:tc>
          <w:tcPr>
            <w:tcW w:type="dxa" w:w="2338"/>
            <w:vAlign w:val="center"/>
          </w:tcPr>
          <w:p>
            <w:pPr>
              <w:spacing w:after="0"/>
              <w:ind w:firstLine="0"/>
              <w:jc w:val="center"/>
            </w:pPr>
            <w:r>
              <w:rPr>
                <w:rFonts w:ascii="Times New Roman" w:hAnsi="Times New Roman" w:eastAsia="Times New Roman"/>
                <w:b/>
                <w:sz w:val="14"/>
              </w:rPr>
              <w:t>Desain waktu, adaptasi, dan ambang</w:t>
            </w:r>
          </w:p>
        </w:tc>
        <w:tc>
          <w:tcPr>
            <w:tcW w:type="dxa" w:w="2338"/>
            <w:vAlign w:val="center"/>
          </w:tcPr>
          <w:p>
            <w:pPr>
              <w:spacing w:after="0"/>
              <w:ind w:firstLine="0"/>
              <w:jc w:val="center"/>
            </w:pPr>
            <w:r>
              <w:rPr>
                <w:rFonts w:ascii="Times New Roman" w:hAnsi="Times New Roman" w:eastAsia="Times New Roman"/>
                <w:b/>
                <w:sz w:val="14"/>
              </w:rPr>
              <w:t>Batas pemakaian</w:t>
            </w:r>
          </w:p>
        </w:tc>
      </w:tr>
      <w:tr>
        <w:trPr>
          <w:cantSplit/>
        </w:trPr>
        <w:tc>
          <w:tcPr>
            <w:tcW w:type="dxa" w:w="2338"/>
            <w:vAlign w:val="center"/>
          </w:tcPr>
          <w:p>
            <w:pPr>
              <w:spacing w:after="0"/>
              <w:ind w:firstLine="0"/>
              <w:jc w:val="left"/>
            </w:pPr>
            <w:r>
              <w:rPr>
                <w:rFonts w:ascii="Times New Roman" w:hAnsi="Times New Roman" w:eastAsia="Times New Roman"/>
                <w:sz w:val="14"/>
              </w:rPr>
              <w:t>Marchal dan Asokan [3]</w:t>
            </w:r>
          </w:p>
        </w:tc>
        <w:tc>
          <w:tcPr>
            <w:tcW w:type="dxa" w:w="2338"/>
            <w:vAlign w:val="center"/>
          </w:tcPr>
          <w:p>
            <w:pPr>
              <w:spacing w:after="0"/>
              <w:ind w:firstLine="0"/>
              <w:jc w:val="center"/>
            </w:pPr>
            <w:r>
              <w:rPr>
                <w:rFonts w:ascii="Times New Roman" w:hAnsi="Times New Roman" w:eastAsia="Times New Roman"/>
                <w:sz w:val="14"/>
              </w:rPr>
              <w:t>Deteksi halaman phishing; unit pembagian tidak dilaporkan pada abstrak</w:t>
            </w:r>
          </w:p>
        </w:tc>
        <w:tc>
          <w:tcPr>
            <w:tcW w:type="dxa" w:w="2338"/>
            <w:vAlign w:val="center"/>
          </w:tcPr>
          <w:p>
            <w:pPr>
              <w:spacing w:after="0"/>
              <w:ind w:firstLine="0"/>
              <w:jc w:val="center"/>
            </w:pPr>
            <w:r>
              <w:rPr>
                <w:rFonts w:ascii="Times New Roman" w:hAnsi="Times New Roman" w:eastAsia="Times New Roman"/>
                <w:sz w:val="14"/>
              </w:rPr>
              <w:t>Mengusulkan protokol evaluasi untuk kondisi nyata, termasuk studi longitudinal pada interval waktu tetap dengan dan tanpa pelatihan ulang; tidak menjalankan transfer lintas korpus</w:t>
            </w:r>
          </w:p>
        </w:tc>
        <w:tc>
          <w:tcPr>
            <w:tcW w:type="dxa" w:w="2338"/>
            <w:vAlign w:val="center"/>
          </w:tcPr>
          <w:p>
            <w:pPr>
              <w:spacing w:after="0"/>
              <w:ind w:firstLine="0"/>
              <w:jc w:val="center"/>
            </w:pPr>
            <w:r>
              <w:rPr>
                <w:rFonts w:ascii="Times New Roman" w:hAnsi="Times New Roman" w:eastAsia="Times New Roman"/>
                <w:sz w:val="14"/>
              </w:rPr>
              <w:t>Tidak memindahkan angka atau efek protokol ke PhiUSIIL</w:t>
            </w:r>
          </w:p>
        </w:tc>
      </w:tr>
      <w:tr>
        <w:trPr>
          <w:cantSplit/>
        </w:trPr>
        <w:tc>
          <w:tcPr>
            <w:tcW w:type="dxa" w:w="2338"/>
            <w:vAlign w:val="center"/>
          </w:tcPr>
          <w:p>
            <w:pPr>
              <w:spacing w:after="0"/>
              <w:ind w:firstLine="0"/>
              <w:jc w:val="left"/>
            </w:pPr>
            <w:r>
              <w:rPr>
                <w:rFonts w:ascii="Times New Roman" w:hAnsi="Times New Roman" w:eastAsia="Times New Roman"/>
                <w:sz w:val="14"/>
              </w:rPr>
              <w:t>PhishBench (El Aassal et al.) [4]</w:t>
            </w:r>
          </w:p>
        </w:tc>
        <w:tc>
          <w:tcPr>
            <w:tcW w:type="dxa" w:w="2338"/>
            <w:vAlign w:val="center"/>
          </w:tcPr>
          <w:p>
            <w:pPr>
              <w:spacing w:after="0"/>
              <w:ind w:firstLine="0"/>
              <w:jc w:val="center"/>
            </w:pPr>
            <w:r>
              <w:rPr>
                <w:rFonts w:ascii="Times New Roman" w:hAnsi="Times New Roman" w:eastAsia="Times New Roman"/>
                <w:sz w:val="14"/>
              </w:rPr>
              <w:t>Banyak dataset deteksi phishing; kondisi pembandingan diseragamkan</w:t>
            </w:r>
          </w:p>
        </w:tc>
        <w:tc>
          <w:tcPr>
            <w:tcW w:type="dxa" w:w="2338"/>
            <w:vAlign w:val="center"/>
          </w:tcPr>
          <w:p>
            <w:pPr>
              <w:spacing w:after="0"/>
              <w:ind w:firstLine="0"/>
              <w:jc w:val="center"/>
            </w:pPr>
            <w:r>
              <w:rPr>
                <w:rFonts w:ascii="Times New Roman" w:hAnsi="Times New Roman" w:eastAsia="Times New Roman"/>
                <w:sz w:val="14"/>
              </w:rPr>
              <w:t>Menguji ulang metode pada dataset baru dan beragam, termasuk pengaruh rasio kelas; menyatakan pelatihan ulang saja tidak cukup menghadapi serangan baru; protokol ambang tidak dilaporkan pada abstrak</w:t>
            </w:r>
          </w:p>
        </w:tc>
        <w:tc>
          <w:tcPr>
            <w:tcW w:type="dxa" w:w="2338"/>
            <w:vAlign w:val="center"/>
          </w:tcPr>
          <w:p>
            <w:pPr>
              <w:spacing w:after="0"/>
              <w:ind w:firstLine="0"/>
              <w:jc w:val="center"/>
            </w:pPr>
            <w:r>
              <w:rPr>
                <w:rFonts w:ascii="Times New Roman" w:hAnsi="Times New Roman" w:eastAsia="Times New Roman"/>
                <w:sz w:val="14"/>
              </w:rPr>
              <w:t>Penelitian ini tidak menggunakan pipeline PhishBench</w:t>
            </w:r>
          </w:p>
        </w:tc>
      </w:tr>
      <w:tr>
        <w:trPr>
          <w:cantSplit/>
        </w:trPr>
        <w:tc>
          <w:tcPr>
            <w:tcW w:type="dxa" w:w="2338"/>
            <w:vAlign w:val="center"/>
          </w:tcPr>
          <w:p>
            <w:pPr>
              <w:spacing w:after="0"/>
              <w:ind w:firstLine="0"/>
              <w:jc w:val="left"/>
            </w:pPr>
            <w:r>
              <w:rPr>
                <w:rFonts w:ascii="Times New Roman" w:hAnsi="Times New Roman" w:eastAsia="Times New Roman"/>
                <w:sz w:val="14"/>
              </w:rPr>
              <w:t>Arp et al. [5]; Kapoor dan Narayanan [6]</w:t>
            </w:r>
          </w:p>
        </w:tc>
        <w:tc>
          <w:tcPr>
            <w:tcW w:type="dxa" w:w="2338"/>
            <w:vAlign w:val="center"/>
          </w:tcPr>
          <w:p>
            <w:pPr>
              <w:spacing w:after="0"/>
              <w:ind w:firstLine="0"/>
              <w:jc w:val="center"/>
            </w:pPr>
            <w:r>
              <w:rPr>
                <w:rFonts w:ascii="Times New Roman" w:hAnsi="Times New Roman" w:eastAsia="Times New Roman"/>
                <w:sz w:val="14"/>
              </w:rPr>
              <w:t>Lintas domain keamanan dan sains; unit entitas dan kebocoran data</w:t>
            </w:r>
          </w:p>
        </w:tc>
        <w:tc>
          <w:tcPr>
            <w:tcW w:type="dxa" w:w="2338"/>
            <w:vAlign w:val="center"/>
          </w:tcPr>
          <w:p>
            <w:pPr>
              <w:spacing w:after="0"/>
              <w:ind w:firstLine="0"/>
              <w:jc w:val="center"/>
            </w:pPr>
            <w:r>
              <w:rPr>
                <w:rFonts w:ascii="Times New Roman" w:hAnsi="Times New Roman" w:eastAsia="Times New Roman"/>
                <w:sz w:val="14"/>
              </w:rPr>
              <w:t>Kerangka umum, bukan estimasi besaran efek</w:t>
            </w:r>
          </w:p>
        </w:tc>
        <w:tc>
          <w:tcPr>
            <w:tcW w:type="dxa" w:w="2338"/>
            <w:vAlign w:val="center"/>
          </w:tcPr>
          <w:p>
            <w:pPr>
              <w:spacing w:after="0"/>
              <w:ind w:firstLine="0"/>
              <w:jc w:val="center"/>
            </w:pPr>
            <w:r>
              <w:rPr>
                <w:rFonts w:ascii="Times New Roman" w:hAnsi="Times New Roman" w:eastAsia="Times New Roman"/>
                <w:sz w:val="14"/>
              </w:rPr>
              <w:t>Prinsip umum; bukan estimasi efek pada phishing URL</w:t>
            </w:r>
          </w:p>
        </w:tc>
      </w:tr>
      <w:tr>
        <w:trPr>
          <w:cantSplit/>
        </w:trPr>
        <w:tc>
          <w:tcPr>
            <w:tcW w:type="dxa" w:w="2338"/>
            <w:vAlign w:val="center"/>
          </w:tcPr>
          <w:p>
            <w:pPr>
              <w:spacing w:after="0"/>
              <w:ind w:firstLine="0"/>
              <w:jc w:val="left"/>
            </w:pPr>
            <w:r>
              <w:rPr>
                <w:rFonts w:ascii="Times New Roman" w:hAnsi="Times New Roman" w:eastAsia="Times New Roman"/>
                <w:sz w:val="14"/>
              </w:rPr>
              <w:t>Mia et al. [9]</w:t>
            </w:r>
          </w:p>
        </w:tc>
        <w:tc>
          <w:tcPr>
            <w:tcW w:type="dxa" w:w="2338"/>
            <w:vAlign w:val="center"/>
          </w:tcPr>
          <w:p>
            <w:pPr>
              <w:spacing w:after="0"/>
              <w:ind w:firstLine="0"/>
              <w:jc w:val="center"/>
            </w:pPr>
            <w:r>
              <w:rPr>
                <w:rFonts w:ascii="Times New Roman" w:hAnsi="Times New Roman" w:eastAsia="Times New Roman"/>
                <w:sz w:val="14"/>
              </w:rPr>
              <w:t>Fitur phishing lintas dataset; korpus berbeda-beda</w:t>
            </w:r>
          </w:p>
        </w:tc>
        <w:tc>
          <w:tcPr>
            <w:tcW w:type="dxa" w:w="2338"/>
            <w:vAlign w:val="center"/>
          </w:tcPr>
          <w:p>
            <w:pPr>
              <w:spacing w:after="0"/>
              <w:ind w:firstLine="0"/>
              <w:jc w:val="center"/>
            </w:pPr>
            <w:r>
              <w:rPr>
                <w:rFonts w:ascii="Times New Roman" w:hAnsi="Times New Roman" w:eastAsia="Times New Roman"/>
                <w:sz w:val="14"/>
              </w:rPr>
              <w:t>Uji transfer model lintas dataset dua arah dengan fitur bersama; protokol ambangnya tidak dinyatakan pada sumber yang diperiksa</w:t>
            </w:r>
          </w:p>
        </w:tc>
        <w:tc>
          <w:tcPr>
            <w:tcW w:type="dxa" w:w="2338"/>
            <w:vAlign w:val="center"/>
          </w:tcPr>
          <w:p>
            <w:pPr>
              <w:spacing w:after="0"/>
              <w:ind w:firstLine="0"/>
              <w:jc w:val="center"/>
            </w:pPr>
            <w:r>
              <w:rPr>
                <w:rFonts w:ascii="Times New Roman" w:hAnsi="Times New Roman" w:eastAsia="Times New Roman"/>
                <w:sz w:val="14"/>
              </w:rPr>
              <w:t>Protokol, fitur, dan pasangan korpus berbeda; bukan replikasi langsung</w:t>
            </w:r>
          </w:p>
        </w:tc>
      </w:tr>
      <w:tr>
        <w:trPr>
          <w:cantSplit/>
        </w:trPr>
        <w:tc>
          <w:tcPr>
            <w:tcW w:type="dxa" w:w="2338"/>
            <w:vAlign w:val="center"/>
          </w:tcPr>
          <w:p>
            <w:pPr>
              <w:spacing w:after="0"/>
              <w:ind w:firstLine="0"/>
              <w:jc w:val="left"/>
            </w:pPr>
            <w:r>
              <w:rPr>
                <w:rFonts w:ascii="Times New Roman" w:hAnsi="Times New Roman" w:eastAsia="Times New Roman"/>
                <w:sz w:val="14"/>
              </w:rPr>
              <w:t>Nabila et al. [11]; Yoga et al. [12]</w:t>
            </w:r>
          </w:p>
        </w:tc>
        <w:tc>
          <w:tcPr>
            <w:tcW w:type="dxa" w:w="2338"/>
            <w:vAlign w:val="center"/>
          </w:tcPr>
          <w:p>
            <w:pPr>
              <w:spacing w:after="0"/>
              <w:ind w:firstLine="0"/>
              <w:jc w:val="center"/>
            </w:pPr>
            <w:r>
              <w:rPr>
                <w:rFonts w:ascii="Times New Roman" w:hAnsi="Times New Roman" w:eastAsia="Times New Roman"/>
                <w:sz w:val="14"/>
              </w:rPr>
              <w:t>Klasifikasi phishing URL dan website pada venue BITS; evaluasi dalam-korpus</w:t>
            </w:r>
          </w:p>
        </w:tc>
        <w:tc>
          <w:tcPr>
            <w:tcW w:type="dxa" w:w="2338"/>
            <w:vAlign w:val="center"/>
          </w:tcPr>
          <w:p>
            <w:pPr>
              <w:spacing w:after="0"/>
              <w:ind w:firstLine="0"/>
              <w:jc w:val="center"/>
            </w:pPr>
            <w:r>
              <w:rPr>
                <w:rFonts w:ascii="Times New Roman" w:hAnsi="Times New Roman" w:eastAsia="Times New Roman"/>
                <w:sz w:val="14"/>
              </w:rPr>
              <w:t>Pembagian dalam-korpus pada satu dataset per studi (80/20 berstrata pada [11]; 70/30 pada [12]); tidak ada pemisahan berbasis waktu dan tidak ada transfer lintas korpus</w:t>
            </w:r>
          </w:p>
        </w:tc>
        <w:tc>
          <w:tcPr>
            <w:tcW w:type="dxa" w:w="2338"/>
            <w:vAlign w:val="center"/>
          </w:tcPr>
          <w:p>
            <w:pPr>
              <w:spacing w:after="0"/>
              <w:ind w:firstLine="0"/>
              <w:jc w:val="center"/>
            </w:pPr>
            <w:r>
              <w:rPr>
                <w:rFonts w:ascii="Times New Roman" w:hAnsi="Times New Roman" w:eastAsia="Times New Roman"/>
                <w:sz w:val="14"/>
              </w:rPr>
              <w:t>Tidak ada klaim peningkatan model atas kedua studi</w:t>
            </w:r>
          </w:p>
        </w:tc>
      </w:tr>
      <w:tr>
        <w:trPr>
          <w:cantSplit/>
        </w:trPr>
        <w:tc>
          <w:tcPr>
            <w:tcW w:type="dxa" w:w="2338"/>
            <w:vAlign w:val="center"/>
          </w:tcPr>
          <w:p>
            <w:pPr>
              <w:spacing w:after="0"/>
              <w:ind w:firstLine="0"/>
              <w:jc w:val="left"/>
            </w:pPr>
            <w:r>
              <w:rPr>
                <w:rFonts w:ascii="Times New Roman" w:hAnsi="Times New Roman" w:eastAsia="Times New Roman"/>
                <w:sz w:val="14"/>
              </w:rPr>
              <w:t>TESSERACT (Pendlebury et al.) [13]</w:t>
            </w:r>
          </w:p>
        </w:tc>
        <w:tc>
          <w:tcPr>
            <w:tcW w:type="dxa" w:w="2338"/>
            <w:vAlign w:val="center"/>
          </w:tcPr>
          <w:p>
            <w:pPr>
              <w:spacing w:after="0"/>
              <w:ind w:firstLine="0"/>
              <w:jc w:val="center"/>
            </w:pPr>
            <w:r>
              <w:rPr>
                <w:rFonts w:ascii="Times New Roman" w:hAnsi="Times New Roman" w:eastAsia="Times New Roman"/>
                <w:sz w:val="14"/>
              </w:rPr>
              <w:t>Malware Android; 129 ribu aplikasi lintas tiga tahun; batas ruang dan waktu</w:t>
            </w:r>
          </w:p>
        </w:tc>
        <w:tc>
          <w:tcPr>
            <w:tcW w:type="dxa" w:w="2338"/>
            <w:vAlign w:val="center"/>
          </w:tcPr>
          <w:p>
            <w:pPr>
              <w:spacing w:after="0"/>
              <w:ind w:firstLine="0"/>
              <w:jc w:val="center"/>
            </w:pPr>
            <w:r>
              <w:rPr>
                <w:rFonts w:ascii="Times New Roman" w:hAnsi="Times New Roman" w:eastAsia="Times New Roman"/>
                <w:sz w:val="14"/>
              </w:rPr>
              <w:t>Batas waktu eksplisit; metrik ketahanan yang diharapkan</w:t>
            </w:r>
          </w:p>
        </w:tc>
        <w:tc>
          <w:tcPr>
            <w:tcW w:type="dxa" w:w="2338"/>
            <w:vAlign w:val="center"/>
          </w:tcPr>
          <w:p>
            <w:pPr>
              <w:spacing w:after="0"/>
              <w:ind w:firstLine="0"/>
              <w:jc w:val="center"/>
            </w:pPr>
            <w:r>
              <w:rPr>
                <w:rFonts w:ascii="Times New Roman" w:hAnsi="Times New Roman" w:eastAsia="Times New Roman"/>
                <w:sz w:val="14"/>
              </w:rPr>
              <w:t>Domain malware; tidak memindahkan besaran efek ke phishing URL</w:t>
            </w:r>
          </w:p>
        </w:tc>
      </w:tr>
      <w:tr>
        <w:trPr>
          <w:cantSplit/>
        </w:trPr>
        <w:tc>
          <w:tcPr>
            <w:tcW w:type="dxa" w:w="2338"/>
            <w:vAlign w:val="center"/>
          </w:tcPr>
          <w:p>
            <w:pPr>
              <w:spacing w:after="0"/>
              <w:ind w:firstLine="0"/>
              <w:jc w:val="left"/>
            </w:pPr>
            <w:r>
              <w:rPr>
                <w:rFonts w:ascii="Times New Roman" w:hAnsi="Times New Roman" w:eastAsia="Times New Roman"/>
                <w:sz w:val="14"/>
              </w:rPr>
              <w:t>Transcend (Jordaney et al.) [14]; Barbero et al. [15]</w:t>
            </w:r>
          </w:p>
        </w:tc>
        <w:tc>
          <w:tcPr>
            <w:tcW w:type="dxa" w:w="2338"/>
            <w:vAlign w:val="center"/>
          </w:tcPr>
          <w:p>
            <w:pPr>
              <w:spacing w:after="0"/>
              <w:ind w:firstLine="0"/>
              <w:jc w:val="center"/>
            </w:pPr>
            <w:r>
              <w:rPr>
                <w:rFonts w:ascii="Times New Roman" w:hAnsi="Times New Roman" w:eastAsia="Times New Roman"/>
                <w:sz w:val="14"/>
              </w:rPr>
              <w:t>Malware Android dan Windows [14]; Android saja pada [15]</w:t>
            </w:r>
          </w:p>
        </w:tc>
        <w:tc>
          <w:tcPr>
            <w:tcW w:type="dxa" w:w="2338"/>
            <w:vAlign w:val="center"/>
          </w:tcPr>
          <w:p>
            <w:pPr>
              <w:spacing w:after="0"/>
              <w:ind w:firstLine="0"/>
              <w:jc w:val="center"/>
            </w:pPr>
            <w:r>
              <w:rPr>
                <w:rFonts w:ascii="Times New Roman" w:hAnsi="Times New Roman" w:eastAsia="Times New Roman"/>
                <w:sz w:val="14"/>
              </w:rPr>
              <w:t>Deteksi drift saat penerapan; penolakan prediksi berisiko</w:t>
            </w:r>
          </w:p>
        </w:tc>
        <w:tc>
          <w:tcPr>
            <w:tcW w:type="dxa" w:w="2338"/>
            <w:vAlign w:val="center"/>
          </w:tcPr>
          <w:p>
            <w:pPr>
              <w:spacing w:after="0"/>
              <w:ind w:firstLine="0"/>
              <w:jc w:val="center"/>
            </w:pPr>
            <w:r>
              <w:rPr>
                <w:rFonts w:ascii="Times New Roman" w:hAnsi="Times New Roman" w:eastAsia="Times New Roman"/>
                <w:sz w:val="14"/>
              </w:rPr>
              <w:t>Tidak memberi protokol ambang lintas korpus untuk phishing URL</w:t>
            </w:r>
          </w:p>
        </w:tc>
      </w:tr>
      <w:tr>
        <w:trPr>
          <w:cantSplit/>
        </w:trPr>
        <w:tc>
          <w:tcPr>
            <w:tcW w:type="dxa" w:w="2338"/>
            <w:vAlign w:val="center"/>
          </w:tcPr>
          <w:p>
            <w:pPr>
              <w:spacing w:after="0"/>
              <w:ind w:firstLine="0"/>
              <w:jc w:val="left"/>
            </w:pPr>
            <w:r>
              <w:rPr>
                <w:rFonts w:ascii="Times New Roman" w:hAnsi="Times New Roman" w:eastAsia="Times New Roman"/>
                <w:sz w:val="14"/>
              </w:rPr>
              <w:t>Safi dan Singh [16]; Karim et al. [17]; Gupta et al. [18]; Sanchez-Paniagua et al. [19]; Aljofey et al. [20]</w:t>
            </w:r>
          </w:p>
        </w:tc>
        <w:tc>
          <w:tcPr>
            <w:tcW w:type="dxa" w:w="2338"/>
            <w:vAlign w:val="center"/>
          </w:tcPr>
          <w:p>
            <w:pPr>
              <w:spacing w:after="0"/>
              <w:ind w:firstLine="0"/>
              <w:jc w:val="center"/>
            </w:pPr>
            <w:r>
              <w:rPr>
                <w:rFonts w:ascii="Times New Roman" w:hAnsi="Times New Roman" w:eastAsia="Times New Roman"/>
                <w:sz w:val="14"/>
              </w:rPr>
              <w:t>Phishing website dan URL; korpus berbeda-beda; komposisi uji mengubah FPR [19]</w:t>
            </w:r>
          </w:p>
        </w:tc>
        <w:tc>
          <w:tcPr>
            <w:tcW w:type="dxa" w:w="2338"/>
            <w:vAlign w:val="center"/>
          </w:tcPr>
          <w:p>
            <w:pPr>
              <w:spacing w:after="0"/>
              <w:ind w:firstLine="0"/>
              <w:jc w:val="center"/>
            </w:pPr>
            <w:r>
              <w:rPr>
                <w:rFonts w:ascii="Times New Roman" w:hAnsi="Times New Roman" w:eastAsia="Times New Roman"/>
                <w:sz w:val="14"/>
              </w:rPr>
              <w:t>Umumnya evaluasi dalam-korpus; representasi URL-saja atau hibrida</w:t>
            </w:r>
          </w:p>
        </w:tc>
        <w:tc>
          <w:tcPr>
            <w:tcW w:type="dxa" w:w="2338"/>
            <w:vAlign w:val="center"/>
          </w:tcPr>
          <w:p>
            <w:pPr>
              <w:spacing w:after="0"/>
              <w:ind w:firstLine="0"/>
              <w:jc w:val="center"/>
            </w:pPr>
            <w:r>
              <w:rPr>
                <w:rFonts w:ascii="Times New Roman" w:hAnsi="Times New Roman" w:eastAsia="Times New Roman"/>
                <w:sz w:val="14"/>
              </w:rPr>
              <w:t>Perbandingan angka tidak dilakukan karena korpus dan protokol berbeda</w:t>
            </w:r>
          </w:p>
        </w:tc>
      </w:tr>
      <w:tr>
        <w:trPr>
          <w:cantSplit/>
        </w:trPr>
        <w:tc>
          <w:tcPr>
            <w:tcW w:type="dxa" w:w="2338"/>
            <w:vAlign w:val="center"/>
          </w:tcPr>
          <w:p>
            <w:pPr>
              <w:spacing w:after="0"/>
              <w:ind w:firstLine="0"/>
              <w:jc w:val="left"/>
            </w:pPr>
            <w:r>
              <w:rPr>
                <w:rFonts w:ascii="Times New Roman" w:hAnsi="Times New Roman" w:eastAsia="Times New Roman"/>
                <w:sz w:val="14"/>
              </w:rPr>
              <w:t>Ahamed et al. [24]</w:t>
            </w:r>
          </w:p>
        </w:tc>
        <w:tc>
          <w:tcPr>
            <w:tcW w:type="dxa" w:w="2338"/>
            <w:vAlign w:val="center"/>
          </w:tcPr>
          <w:p>
            <w:pPr>
              <w:spacing w:after="0"/>
              <w:ind w:firstLine="0"/>
              <w:jc w:val="center"/>
            </w:pPr>
            <w:r>
              <w:rPr>
                <w:rFonts w:ascii="Times New Roman" w:hAnsi="Times New Roman" w:eastAsia="Times New Roman"/>
                <w:sz w:val="14"/>
              </w:rPr>
              <w:t>PhiUSIIL 235.370 URL tervalidasi; validasi eksternal memakai 49.121 URL PhishTank, dengan kelas benign diambil dari split uji PhiUSIIL yang dipegang</w:t>
            </w:r>
          </w:p>
        </w:tc>
        <w:tc>
          <w:tcPr>
            <w:tcW w:type="dxa" w:w="2338"/>
            <w:vAlign w:val="center"/>
          </w:tcPr>
          <w:p>
            <w:pPr>
              <w:spacing w:after="0"/>
              <w:ind w:firstLine="0"/>
              <w:jc w:val="center"/>
            </w:pPr>
            <w:r>
              <w:rPr>
                <w:rFonts w:ascii="Times New Roman" w:hAnsi="Times New Roman" w:eastAsia="Times New Roman"/>
                <w:sz w:val="14"/>
              </w:rPr>
              <w:t>Robustness adversarial, generalisasi leave-one-family-out, stabilitas penjelasan, dan validasi eksternal yang hanya eksternal pada sisi phishing (Subbagian 4.6), karena kelas benign diambil dari PhiUSIIL</w:t>
            </w:r>
          </w:p>
        </w:tc>
        <w:tc>
          <w:tcPr>
            <w:tcW w:type="dxa" w:w="2338"/>
            <w:vAlign w:val="center"/>
          </w:tcPr>
          <w:p>
            <w:pPr>
              <w:spacing w:after="0"/>
              <w:ind w:firstLine="0"/>
              <w:jc w:val="center"/>
            </w:pPr>
            <w:r>
              <w:rPr>
                <w:rFonts w:ascii="Times New Roman" w:hAnsi="Times New Roman" w:eastAsia="Times New Roman"/>
                <w:sz w:val="14"/>
              </w:rPr>
              <w:t>Sumbu pembandingnya robustness; evaluasi temporal berbasis waktu dan ambang berbasis validasi tidak dilaporkan di sana</w:t>
            </w:r>
          </w:p>
        </w:tc>
      </w:tr>
      <w:tr>
        <w:trPr>
          <w:cantSplit/>
        </w:trPr>
        <w:tc>
          <w:tcPr>
            <w:tcW w:type="dxa" w:w="2338"/>
            <w:vAlign w:val="center"/>
          </w:tcPr>
          <w:p>
            <w:pPr>
              <w:spacing w:after="0"/>
              <w:ind w:firstLine="0"/>
              <w:jc w:val="left"/>
            </w:pPr>
            <w:r>
              <w:rPr>
                <w:rFonts w:ascii="Times New Roman" w:hAnsi="Times New Roman" w:eastAsia="Times New Roman"/>
                <w:sz w:val="14"/>
              </w:rPr>
              <w:t>Axelsson [21]; Saito dan Rehmsmeier [22]; Trad dan Chehab [23]</w:t>
            </w:r>
          </w:p>
        </w:tc>
        <w:tc>
          <w:tcPr>
            <w:tcW w:type="dxa" w:w="2338"/>
            <w:vAlign w:val="center"/>
          </w:tcPr>
          <w:p>
            <w:pPr>
              <w:spacing w:after="0"/>
              <w:ind w:firstLine="0"/>
              <w:jc w:val="center"/>
            </w:pPr>
            <w:r>
              <w:rPr>
                <w:rFonts w:ascii="Times New Roman" w:hAnsi="Times New Roman" w:eastAsia="Times New Roman"/>
                <w:sz w:val="14"/>
              </w:rPr>
              <w:t>Sistem deteksi, klasifikasi tidak seimbang, dan model bahasa besar</w:t>
            </w:r>
          </w:p>
        </w:tc>
        <w:tc>
          <w:tcPr>
            <w:tcW w:type="dxa" w:w="2338"/>
            <w:vAlign w:val="center"/>
          </w:tcPr>
          <w:p>
            <w:pPr>
              <w:spacing w:after="0"/>
              <w:ind w:firstLine="0"/>
              <w:jc w:val="center"/>
            </w:pPr>
            <w:r>
              <w:rPr>
                <w:rFonts w:ascii="Times New Roman" w:hAnsi="Times New Roman" w:eastAsia="Times New Roman"/>
                <w:sz w:val="14"/>
              </w:rPr>
              <w:t>Prinsip base rate dan precision-recall; arah model bahasa besar tidak diuji di sini</w:t>
            </w:r>
          </w:p>
        </w:tc>
        <w:tc>
          <w:tcPr>
            <w:tcW w:type="dxa" w:w="2338"/>
            <w:vAlign w:val="center"/>
          </w:tcPr>
          <w:p>
            <w:pPr>
              <w:spacing w:after="0"/>
              <w:ind w:firstLine="0"/>
              <w:jc w:val="center"/>
            </w:pPr>
            <w:r>
              <w:rPr>
                <w:rFonts w:ascii="Times New Roman" w:hAnsi="Times New Roman" w:eastAsia="Times New Roman"/>
                <w:sz w:val="14"/>
              </w:rPr>
              <w:t>Prinsip umum; bukan estimasi pada korpus ini</w:t>
            </w:r>
          </w:p>
        </w:tc>
      </w:tr>
    </w:tbl>
    <w:p>
      <w:pPr>
        <w:spacing w:after="20"/>
        <w:ind w:firstLine="0"/>
      </w:pPr>
    </w:p>
    <w:p>
      <w:pPr>
        <w:pStyle w:val="Heading2"/>
        <w:ind w:firstLine="0"/>
        <w:jc w:val="left"/>
      </w:pPr>
      <w:r>
        <w:rPr>
          <w:rFonts w:ascii="Times New Roman" w:hAnsi="Times New Roman" w:eastAsia="Times New Roman"/>
          <w:sz w:val="20"/>
        </w:rPr>
        <w:t xml:space="preserve">1.2 Tinjauan Tematik: Waktu, Representasi, dan Ambang Operasional</w:t>
      </w:r>
    </w:p>
    <w:p>
      <w:pPr>
        <w:spacing w:after="60"/>
        <w:ind w:firstLine="283"/>
        <w:jc w:val="both"/>
      </w:pPr>
      <w:r>
        <w:rPr>
          <w:rFonts w:ascii="Times New Roman" w:hAnsi="Times New Roman" w:eastAsia="Times New Roman"/>
          <w:sz w:val="19"/>
        </w:rPr>
        <w:t xml:space="preserve">Literatur evaluasi keamanan berbasis pembelajaran mesin merumuskan dua sumber bias yang relevan bagi penelitian ini. Bias spasial muncul ketika distribusi data latih dan uji tidak mewakili kondisi penerapan, sedangkan bias temporal muncul ketika pemisahan waktu tidak menghormati urutan kejadian [13]. Kerangka TESSERACT menunjukkan bahwa keduanya dapat menaikkan skor secara sistematis: F1 yang dilaporkan mendekati 0,99 pada klasifikasi malware sebagian berasal dari rancangan eksperimen, bukan dari kemampuan model [13]. Pada penerapan, penurunan kinerja akibat perubahan distribusi dipantau melalui deteksi drift konsep yang membandingkan sampel penerapan dengan sampel latih [14], dan evaluasi ulang terhadap pendekatan tersebut menunjukkan bahwa kesimpulan tentang drift bergantung pada protokol evaluasi serta pada cara model menolak prediksi yang berisiko [15]. Ketiga temuan itu tidak memindahkan besaran efek ke domain phishing URL; yang dipindahkan adalah prinsip bahwa unit pembagian, urutan waktu, dan definisi kohort harus dinyatakan sebagai bagian dari klaim.</w:t>
      </w:r>
    </w:p>
    <w:p>
      <w:pPr>
        <w:spacing w:after="60"/>
        <w:ind w:firstLine="283"/>
        <w:jc w:val="both"/>
      </w:pPr>
      <w:r>
        <w:rPr>
          <w:rFonts w:ascii="Times New Roman" w:hAnsi="Times New Roman" w:eastAsia="Times New Roman"/>
          <w:sz w:val="19"/>
        </w:rPr>
        <w:t xml:space="preserve">Pada domain phishing URL, laporan kinerja tinggi merupakan hal yang umum. Tinjauan sistematis atas 80 makalah mengelompokkan pendekatan deteksi situs phishing menjadi berbasis daftar, kemiripan visual, heuristik, pembelajaran mesin, dan pembelajaran mendalam [16]. Pendekatan hibrida berbasis fitur URL melaporkan kinerja deteksi yang sangat tinggi pada korpus masing-masing [17], pendekatan leksikal dengan reduksi fitur ditujukan untuk lingkungan waktu nyata [18], dan studi kasus pada URL login menunjukkan bahwa komposisi himpunan uji mengubah laju positif palsu secara material [19]. Model berbasis karakter pada URL mentah juga menunjukkan bahwa representasi URL-saja dapat mencapai kinerja tinggi tanpa fitur halaman [20]. Protokol evaluasi terbaru pada korpus PhiUSIIL melaporkan akurasi 0,9962 sampai 0,9984 pada himpunan uji domain-disjoint untuk empat keluarga model, dan protokol yang sama juga memuat evaluasi eksternal lintas sumber pada Subbagian 4.6; kinerjanya turun tajam ketika URL dimutasi secara realistis [24]. Pola semacam ini konsisten dengan saturasi benchmark yang bersifat deskriptif: ketika banyak model berbeda mencapai skor hampir identik pada satu korpus, daya pembeda pada konfigurasi yang dievaluasi tampak terbatas untuk pertanyaan pemilihan model, dan artikel ini tidak menetapkan penyebabnya.</w:t>
      </w:r>
    </w:p>
    <w:p>
      <w:pPr>
        <w:spacing w:after="60"/>
        <w:ind w:firstLine="283"/>
        <w:jc w:val="both"/>
      </w:pPr>
      <w:r>
        <w:rPr>
          <w:rFonts w:ascii="Times New Roman" w:hAnsi="Times New Roman" w:eastAsia="Times New Roman"/>
          <w:sz w:val="19"/>
        </w:rPr>
        <w:t xml:space="preserve">Literatur transfer lintas korpus pada domain ini lebih sedikit dijumpai dibanding literatur klasifikasi dalam-korpus pada penelusuran terarah yang dilakukan di sini; pernyataan ini tidak didasarkan pada survei kuantitatif. Studi lintas dataset menunjukkan bahwa keandalan fitur tidak otomatis berpindah antar korpus [9], dan evaluasi leave-one-family-out pada korpus yang sama menunjukkan transfer yang buruk ke keluarga serangan yang tidak terlihat [24]. Kedua hasil itu menunjukkan bahwa portabilitas perlu diuji secara eksplisit, bukan disimpulkan dari skor dalam-korpus. Uji transfer beku dua arah pada pasangan korpus PhiUSIIL dan PhreshPhish, dengan ekstraktor, model, dan ambang yang tidak disesuaikan pada target, dilaporkan pada artikel ini. Kontribusi artikel ini pada sumbu tersebut adalah bukti empiris spesifik untuk pasangan korpus itu dengan ekstraktor, urutan fitur, model, dan ambang yang dibekukan, dibaca bersama evaluasi temporal dalam korpus dan trade-off ambang yang dipilih pada validasi; ini penyediaan bukti yang dapat diaudit, bukan pengajuan metode adaptasi baru.</w:t>
      </w:r>
    </w:p>
    <w:p>
      <w:pPr>
        <w:spacing w:after="60"/>
        <w:ind w:firstLine="283"/>
        <w:jc w:val="both"/>
      </w:pPr>
      <w:r>
        <w:rPr>
          <w:rFonts w:ascii="Times New Roman" w:hAnsi="Times New Roman" w:eastAsia="Times New Roman"/>
          <w:sz w:val="19"/>
        </w:rPr>
        <w:t xml:space="preserve">Pada sisi operasional, literatur sistem deteksi telah lama menunjukkan bahwa ketika peristiwa yang dicari jarang, laju positif palsu yang kecil tetap menghasilkan proporsi alarm palsu yang besar di antara seluruh alarm [21]. Untuk data yang tidak seimbang, analisis precision-recall lebih informatif daripada ROC karena sensitif terhadap prevalensi kelas positif [22]. Karena itu artikel ini melaporkan FPR bersama proyeksi nilai prediksi positif pada prevalensi asumsi, dan memperlakukan proyeksi tersebut sebagai skenario aritmetika, bukan pengamatan penerapan.</w:t>
      </w:r>
    </w:p>
    <w:p>
      <w:pPr>
        <w:spacing w:after="60"/>
        <w:ind w:firstLine="283"/>
        <w:jc w:val="both"/>
      </w:pPr>
      <w:r>
        <w:rPr>
          <w:rFonts w:ascii="Times New Roman" w:hAnsi="Times New Roman" w:eastAsia="Times New Roman"/>
          <w:sz w:val="19"/>
        </w:rPr>
        <w:t xml:space="preserve">Perkembangan mutakhir juga mencakup penggunaan model bahasa besar, dengan perbandingan antara rekayasa prompt dan fine-tuning untuk deteksi URL phishing [23]. Arah tersebut tidak diuji dalam artikel ini karena kebutuhan utamanya adalah rantai evaluasi yang dapat dibekukan dan diaudit pada tingkat artefak, bukan pemilihan keluarga model.</w:t>
      </w:r>
    </w:p>
    <w:p>
      <w:pPr>
        <w:spacing w:after="60"/>
        <w:ind w:firstLine="283"/>
        <w:jc w:val="both"/>
      </w:pPr>
      <w:r>
        <w:rPr>
          <w:rFonts w:ascii="Times New Roman" w:hAnsi="Times New Roman" w:eastAsia="Times New Roman"/>
          <w:sz w:val="19"/>
        </w:rPr>
        <w:t>Kesenjangan yang dituju karena itu bukan ketiadaan penelitian deteksi phishing, melainkan belum terjawabnya pertanyaan yang lebih sempit pada artefak penelitian ini: apakah kesimpulan PhiUSIIL tetap sama setelah unit pembagian, kelompok fitur, dan evaluasi temporal dibedakan dalam satu rantai bukti yang dapat diaudit. Jawabannya dibatasi pada dua korpus dan desain yang benar-benar diuji.</w:t>
      </w:r>
    </w:p>
    <w:p>
      <w:pPr>
        <w:spacing w:after="60"/>
        <w:ind w:firstLine="283"/>
        <w:jc w:val="both"/>
      </w:pPr>
      <w:r>
        <w:rPr>
          <w:rFonts w:ascii="Times New Roman" w:hAnsi="Times New Roman" w:eastAsia="Times New Roman"/>
          <w:sz w:val="19"/>
        </w:rPr>
        <w:t>PhiUSIIL [1] dipilih karena ukurannya besar dan menyediakan fitur URL, host, serta konten; sifat ini memungkinkan audit keterpulihan label dan pemisahan entitas. PhreshPhish [2] menyediakan URL mentah dan penanda waktu untuk evaluasi temporal dalam-korpus serta transfer lintas-korpus. Partisi temporal yang digunakan di sini telah diperiksa dalam pekerjaan eksploratif sebelumnya dan bukan holdout buta atau prospektif.</w:t>
      </w:r>
    </w:p>
    <w:p>
      <w:pPr>
        <w:spacing w:after="60"/>
        <w:ind w:firstLine="283"/>
        <w:jc w:val="both"/>
      </w:pPr>
      <w:r>
        <w:rPr>
          <w:rFonts w:ascii="Times New Roman" w:hAnsi="Times New Roman" w:eastAsia="Times New Roman"/>
          <w:sz w:val="19"/>
        </w:rPr>
        <w:t xml:space="preserve">Penelitian ini menguji lima pertanyaan. RQ1 menilai selisih deskriptif antara pembagian acak dan </w:t>
      </w:r>
      <w:r>
        <w:rPr>
          <w:rFonts w:ascii="Times New Roman" w:hAnsi="Times New Roman" w:eastAsia="Times New Roman"/>
          <w:i/>
          <w:sz w:val="19"/>
        </w:rPr>
        <w:t>site-disjoint</w:t>
      </w:r>
      <w:r>
        <w:rPr>
          <w:rFonts w:ascii="Times New Roman" w:hAnsi="Times New Roman" w:eastAsia="Times New Roman"/>
          <w:sz w:val="19"/>
        </w:rPr>
        <w:t xml:space="preserve"> pada PhiUSIIL. RQ2 mengukur perubahan ketika enam fitur konten dihapus sebagai satu kelompok. RQ3 mengukur kinerja A2 pada evaluasi temporal dalam-korpus PhreshPhish. RQ4 menguji portabilitas </w:t>
      </w:r>
      <w:r>
        <w:rPr>
          <w:rFonts w:ascii="Times New Roman" w:hAnsi="Times New Roman" w:eastAsia="Times New Roman"/>
          <w:i/>
          <w:sz w:val="19"/>
        </w:rPr>
        <w:t>zero-shot</w:t>
      </w:r>
      <w:r>
        <w:rPr>
          <w:rFonts w:ascii="Times New Roman" w:hAnsi="Times New Roman" w:eastAsia="Times New Roman"/>
          <w:sz w:val="19"/>
        </w:rPr>
        <w:t xml:space="preserve"> model A2 tanpa retraining, kalibrasi, atau penyetelan ambang pada dua arah: dilatih pada PhiUSIIL dan diuji pada PhreshPhish, serta dilatih pada PhreshPhish dan diuji pada PhiUSIIL. RQ5 mengukur trade-off ambang yang dipilih hanya pada validasi serta konsentrasi galat pada kategori URL yang telah ditentukan.</w:t>
      </w:r>
    </w:p>
    <w:p>
      <w:pPr>
        <w:spacing w:after="60"/>
        <w:ind w:firstLine="283"/>
        <w:jc w:val="both"/>
      </w:pPr>
      <w:r>
        <w:rPr>
          <w:rFonts w:ascii="Times New Roman" w:hAnsi="Times New Roman" w:eastAsia="Times New Roman"/>
          <w:sz w:val="19"/>
        </w:rPr>
        <w:t xml:space="preserve">Kebaruan yang diklaim bersifat evaluatif, bukan arsitektural: penelitian ini membandingkan kinerja benchmark, evaluasi temporal dalam-korpus, dan transfer lintas-korpus, lalu mengaitkan analisis tersebut dengan pemilihan ambang dan deskripsi galat. Hasil PhiUSIIL konsisten dengan saturasi benchmark deskriptif; penelitian ini tidak menetapkan mekanismenya. Artikel ini tidak mengklaim protokol atau model baru, kinerja </w:t>
      </w:r>
      <w:r>
        <w:rPr>
          <w:rFonts w:ascii="Times New Roman" w:hAnsi="Times New Roman" w:eastAsia="Times New Roman"/>
          <w:i/>
          <w:sz w:val="19"/>
        </w:rPr>
        <w:t>state of the art</w:t>
      </w:r>
      <w:r>
        <w:rPr>
          <w:rFonts w:ascii="Times New Roman" w:hAnsi="Times New Roman" w:eastAsia="Times New Roman"/>
          <w:sz w:val="19"/>
        </w:rPr>
        <w:t xml:space="preserve">, bukti kausal tentang drift, deteksi </w:t>
      </w:r>
      <w:r>
        <w:rPr>
          <w:rFonts w:ascii="Times New Roman" w:hAnsi="Times New Roman" w:eastAsia="Times New Roman"/>
          <w:i/>
          <w:sz w:val="19"/>
        </w:rPr>
        <w:t>zero-day</w:t>
      </w:r>
      <w:r>
        <w:rPr>
          <w:rFonts w:ascii="Times New Roman" w:hAnsi="Times New Roman" w:eastAsia="Times New Roman"/>
          <w:sz w:val="19"/>
        </w:rPr>
        <w:t>, atau kesiapan deployment.</w:t>
      </w:r>
    </w:p>
    <w:p>
      <w:pPr>
        <w:spacing w:after="60"/>
        <w:ind w:firstLine="283"/>
        <w:jc w:val="both"/>
      </w:pPr>
      <w:r>
        <w:rPr>
          <w:rFonts w:ascii="Times New Roman" w:hAnsi="Times New Roman" w:eastAsia="Times New Roman"/>
          <w:sz w:val="19"/>
        </w:rPr>
        <w:t>Kontribusi yang diklaim terbatas pada empat butir berikut.</w:t>
      </w:r>
    </w:p>
    <w:p>
      <w:pPr>
        <w:spacing w:after="60"/>
        <w:ind w:firstLine="0" w:left="283"/>
        <w:jc w:val="both"/>
      </w:pPr>
      <w:r>
        <w:rPr>
          <w:rFonts w:ascii="Times New Roman" w:hAnsi="Times New Roman" w:eastAsia="Times New Roman"/>
          <w:sz w:val="19"/>
        </w:rPr>
        <w:t xml:space="preserve">1. Audit keterpulihan label dan </w:t>
      </w:r>
      <w:r>
        <w:rPr>
          <w:rFonts w:ascii="Times New Roman" w:hAnsi="Times New Roman" w:eastAsia="Times New Roman"/>
          <w:i/>
          <w:sz w:val="19"/>
        </w:rPr>
        <w:t>saturasi benchmark deskriptif</w:t>
      </w:r>
      <w:r>
        <w:rPr>
          <w:rFonts w:ascii="Times New Roman" w:hAnsi="Times New Roman" w:eastAsia="Times New Roman"/>
          <w:sz w:val="19"/>
        </w:rPr>
        <w:t xml:space="preserve"> pada PhiUSIIL, dilengkapi pembagian </w:t>
      </w:r>
      <w:r>
        <w:rPr>
          <w:rFonts w:ascii="Times New Roman" w:hAnsi="Times New Roman" w:eastAsia="Times New Roman"/>
          <w:i/>
          <w:sz w:val="19"/>
        </w:rPr>
        <w:t>site-disjoint</w:t>
      </w:r>
      <w:r>
        <w:rPr>
          <w:rFonts w:ascii="Times New Roman" w:hAnsi="Times New Roman" w:eastAsia="Times New Roman"/>
          <w:sz w:val="19"/>
        </w:rPr>
        <w:t xml:space="preserve"> dan ablasi kelompok A1−A0 berpasangan pada domain.</w:t>
      </w:r>
    </w:p>
    <w:p>
      <w:pPr>
        <w:spacing w:after="60"/>
        <w:ind w:firstLine="0" w:left="283"/>
        <w:jc w:val="both"/>
      </w:pPr>
      <w:r>
        <w:rPr>
          <w:rFonts w:ascii="Times New Roman" w:hAnsi="Times New Roman" w:eastAsia="Times New Roman"/>
          <w:sz w:val="19"/>
        </w:rPr>
        <w:t xml:space="preserve">2. Evaluasi temporal A2 dalam PhreshPhish dan uji transfer </w:t>
      </w:r>
      <w:r>
        <w:rPr>
          <w:rFonts w:ascii="Times New Roman" w:hAnsi="Times New Roman" w:eastAsia="Times New Roman"/>
          <w:i/>
          <w:sz w:val="19"/>
        </w:rPr>
        <w:t>zero-shot</w:t>
      </w:r>
      <w:r>
        <w:rPr>
          <w:rFonts w:ascii="Times New Roman" w:hAnsi="Times New Roman" w:eastAsia="Times New Roman"/>
          <w:sz w:val="19"/>
        </w:rPr>
        <w:t xml:space="preserve"> dua arah, PhiUSIIL→PhreshPhish dan PhreshPhish→PhiUSIIL, menggunakan ekstraktor, urutan fitur, model, dan ambang yang dibekukan; desain ini secara langsung menguji portabilitas lintas-korpus.</w:t>
      </w:r>
    </w:p>
    <w:p>
      <w:pPr>
        <w:spacing w:after="60"/>
        <w:ind w:firstLine="0" w:left="283"/>
        <w:jc w:val="both"/>
      </w:pPr>
      <w:r>
        <w:rPr>
          <w:rFonts w:ascii="Times New Roman" w:hAnsi="Times New Roman" w:eastAsia="Times New Roman"/>
          <w:sz w:val="19"/>
        </w:rPr>
        <w:t>3. Evaluasi ambang operasional yang memilih empat aturan hanya pada periode validasi dan menerapkannya sekali pada kohort uji temporal yang tidak berubah, lengkap dengan proyeksi PPV pada prevalensi rendah.</w:t>
      </w:r>
    </w:p>
    <w:p>
      <w:pPr>
        <w:spacing w:after="60"/>
        <w:ind w:firstLine="0" w:left="283"/>
        <w:jc w:val="both"/>
      </w:pPr>
      <w:r>
        <w:rPr>
          <w:rFonts w:ascii="Times New Roman" w:hAnsi="Times New Roman" w:eastAsia="Times New Roman"/>
          <w:sz w:val="19"/>
        </w:rPr>
        <w:t>4. Taksonomi galat yang dapat direproduksi dari prediksi tersimpan, disertai dukungan kategori, interval Wilson, contoh yang direduksi, dan batas interpretasi deskriptif.</w:t>
      </w:r>
    </w:p>
    <w:p>
      <w:pPr>
        <w:spacing w:after="60"/>
        <w:ind w:firstLine="283"/>
        <w:jc w:val="both"/>
      </w:pPr>
      <w:r>
        <w:rPr>
          <w:rFonts w:ascii="Times New Roman" w:hAnsi="Times New Roman" w:eastAsia="Times New Roman"/>
          <w:sz w:val="19"/>
        </w:rPr>
        <w:t>Sisa artikel disusun sebagai berikut. Bagian 2 menjabarkan data, protokol, konfigurasi fitur, model, dan metrik. Bagian 3 menyajikan hasil audit, perbandingan protokol, ablasi, evaluasi temporal, dan pembahasan. Bagian 4 merangkum kesimpulan beserta batasannya. Bagian 5 memuat pernyataan penulis.</w:t>
      </w:r>
    </w:p>
    <w:p>
      <w:pPr>
        <w:pStyle w:val="Heading1"/>
        <w:ind w:firstLine="0"/>
        <w:jc w:val="center"/>
      </w:pPr>
      <w:r>
        <w:rPr>
          <w:rFonts w:ascii="Times New Roman" w:hAnsi="Times New Roman" w:eastAsia="Times New Roman"/>
          <w:sz w:val="21"/>
        </w:rPr>
        <w:t>2. METODOLOGI PENELITIAN</w:t>
      </w:r>
    </w:p>
    <w:p>
      <w:pPr>
        <w:pStyle w:val="Heading2"/>
        <w:ind w:firstLine="0"/>
        <w:jc w:val="left"/>
      </w:pPr>
      <w:r>
        <w:rPr>
          <w:rFonts w:ascii="Times New Roman" w:hAnsi="Times New Roman" w:eastAsia="Times New Roman"/>
          <w:sz w:val="20"/>
        </w:rPr>
        <w:t>2.1 Tahapan Penelitian</w:t>
      </w:r>
    </w:p>
    <w:p>
      <w:pPr>
        <w:spacing w:after="60"/>
        <w:ind w:firstLine="283"/>
        <w:jc w:val="both"/>
      </w:pPr>
      <w:r>
        <w:rPr>
          <w:rFonts w:ascii="Times New Roman" w:hAnsi="Times New Roman" w:eastAsia="Times New Roman"/>
          <w:sz w:val="19"/>
        </w:rPr>
        <w:t>Penelitian ini menggunakan pendekatan eksperimen kuantitatif dengan empat tahap: (1) pengumpulan dan pembersihan data; (2) konstruksi protokol evaluasi dengan pemisahan registrable domain; (3) pelatihan dan evaluasi model; (4) analisis kesenjangan akurasi–deployment. Seluruh artefak eksperimen mencatat konfigurasi dan seed untuk replikasi, dan setiap angka yang dilaporkan pada Bagian 3 berasal dari berkas hasil yang tersimpan, bukan dari pengukuran ulang secara manual.</w:t>
      </w:r>
    </w:p>
    <w:p>
      <w:pPr>
        <w:spacing w:after="60"/>
        <w:ind w:firstLine="283"/>
        <w:jc w:val="both"/>
      </w:pPr>
      <w:r>
        <w:rPr>
          <w:rFonts w:ascii="Times New Roman" w:hAnsi="Times New Roman" w:eastAsia="Times New Roman"/>
          <w:sz w:val="19"/>
        </w:rPr>
        <w:t>Jumlah kecocokan model utama yang dilaporkan adalah 90 kecocokan terpilih: 60 kecocokan benchmark PhiUSIIL, 10 kecocokan evaluasi temporal PhreshPhish, 10 kecocokan transfer lintas-korpus arah maju (2 model × 5 seed), 5 kecocokan LightGBM untuk evaluasi ambang operasional, dan 5 kecocokan LightGBM untuk transfer arah balik pada eksperimen 9. Angka 90 adalah cakupan kecocokan yang dipilih untuk dilaporkan, bukan seluruh kecocokan yang pernah dieksekusi: arm temporal 10 kecocokan dilaporkan sekali, sedangkan rerun paritas 10 kecocokan yang identik secara metrik tidak dihitung. Empat run diagnostik 10 kecocokan non-final dengan metrik berbeda, uji paritas pra-penerbangan, uji waktu tunggal, dan dua pemeriksaan asap non-final yang tidak menyelesaikan matriks penuh juga tidak dihitung. Pipeline evaluasi versi awal tidak menyumbang kecocokan pada angka ini: keluarannya hanya metrik agregat tanpa prediksi per baris, dan cabang temporalnya berhenti sebagai stub/uji kering tanpa pemberian skor. Taksonomi galat tidak melatih model baru.</w:t>
      </w:r>
    </w:p>
    <w:p>
      <w:pPr>
        <w:spacing w:after="60"/>
        <w:ind w:firstLine="283"/>
        <w:jc w:val="both"/>
      </w:pPr>
      <w:r>
        <w:rPr>
          <w:rFonts w:ascii="Times New Roman" w:hAnsi="Times New Roman" w:eastAsia="Times New Roman"/>
          <w:sz w:val="19"/>
        </w:rPr>
        <w:t xml:space="preserve">Gambar 1 merangkum desain penelitian. Jalur kiri mengaudit PhiUSIIL dan menghasilkan model sumber A2. Jalur kanan menjalankan evaluasi temporal, pemilihan ambang, dan analisis galat pada PhreshPhish. Jembatan di tengah adalah uji </w:t>
      </w:r>
      <w:r>
        <w:rPr>
          <w:rFonts w:ascii="Times New Roman" w:hAnsi="Times New Roman" w:eastAsia="Times New Roman"/>
          <w:i/>
          <w:sz w:val="19"/>
        </w:rPr>
        <w:t>zero-shot</w:t>
      </w:r>
      <w:r>
        <w:rPr>
          <w:rFonts w:ascii="Times New Roman" w:hAnsi="Times New Roman" w:eastAsia="Times New Roman"/>
          <w:sz w:val="19"/>
        </w:rPr>
        <w:t>: pipeline A2 dibekukan setelah pelatihan PhiUSIIL lalu diterapkan pada kohort uji PhreshPhish tanpa penyesuaian target.</w:t>
      </w:r>
    </w:p>
    <w:p>
      <w:pPr>
        <w:keepNext/>
        <w:spacing w:after="40" w:before="60"/>
        <w:ind w:firstLine="0"/>
        <w:jc w:val="center"/>
      </w:pPr>
      <w:r>
        <w:drawing>
          <wp:inline xmlns:a="http://schemas.openxmlformats.org/drawingml/2006/main" xmlns:pic="http://schemas.openxmlformats.org/drawingml/2006/picture">
            <wp:extent cx="5472000" cy="5217488"/>
            <wp:docPr id="1" name="Picture 1" title="figure_1_research_pipeline_v10" descr="Pipeline audit generalisasi PhiUSIIL dan PhreshPhish dengan jembatan transfer zero-shot yang dibekukan."/>
            <wp:cNvGraphicFramePr>
              <a:graphicFrameLocks noChangeAspect="1"/>
            </wp:cNvGraphicFramePr>
            <a:graphic>
              <a:graphicData uri="http://schemas.openxmlformats.org/drawingml/2006/picture">
                <pic:pic>
                  <pic:nvPicPr>
                    <pic:cNvPr id="0" name="figure_1_research_pipeline_v10.png"/>
                    <pic:cNvPicPr/>
                  </pic:nvPicPr>
                  <pic:blipFill>
                    <a:blip r:embed="rId13"/>
                    <a:stretch>
                      <a:fillRect/>
                    </a:stretch>
                  </pic:blipFill>
                  <pic:spPr>
                    <a:xfrm>
                      <a:off x="0" y="0"/>
                      <a:ext cx="5472000" cy="5217488"/>
                    </a:xfrm>
                    <a:prstGeom prst="rect"/>
                  </pic:spPr>
                </pic:pic>
              </a:graphicData>
            </a:graphic>
          </wp:inline>
        </w:drawing>
      </w:r>
    </w:p>
    <w:p>
      <w:pPr>
        <w:spacing w:after="60"/>
        <w:ind w:firstLine="283"/>
        <w:jc w:val="both"/>
      </w:pPr>
      <w:r>
        <w:rPr>
          <w:rFonts w:ascii="Times New Roman" w:hAnsi="Times New Roman" w:eastAsia="Times New Roman"/>
          <w:b/>
          <w:sz w:val="19"/>
        </w:rPr>
        <w:t>Gambar 1.</w:t>
      </w:r>
      <w:r>
        <w:rPr>
          <w:rFonts w:ascii="Times New Roman" w:hAnsi="Times New Roman" w:eastAsia="Times New Roman"/>
          <w:sz w:val="19"/>
        </w:rPr>
        <w:t xml:space="preserve"> Pipeline audit generalisasi. Jalur yang digambarkan adalah arm transfer arah maju: ekstraktor A2, urutan 18 fitur, model, dan ambang 0,5 dibekukan setelah pelatihan pada PhiUSIIL, dan PhreshPhish hanya digunakan sebagai target evaluasi tanpa retraining, kalibrasi, atau pemilihan ambang berbasis target. Arm arah balik (PhreshPhish→PhiUSIIL) dijalankan pada eksperimen 9 dan tidak digambarkan di sini. Jalur temporal dan ambang PhreshPhish merupakan eksperimen terpisah dan tidak digunakan untuk mengadaptasi model transfer.</w:t>
      </w:r>
    </w:p>
    <w:p>
      <w:pPr>
        <w:pStyle w:val="Heading2"/>
        <w:ind w:firstLine="0"/>
        <w:jc w:val="left"/>
      </w:pPr>
      <w:r>
        <w:rPr>
          <w:rFonts w:ascii="Times New Roman" w:hAnsi="Times New Roman" w:eastAsia="Times New Roman"/>
          <w:sz w:val="20"/>
        </w:rPr>
        <w:t>2.2 Data</w:t>
      </w:r>
    </w:p>
    <w:p>
      <w:pPr>
        <w:spacing w:after="60"/>
        <w:ind w:firstLine="283"/>
        <w:jc w:val="both"/>
      </w:pPr>
      <w:r>
        <w:rPr>
          <w:rFonts w:ascii="Times New Roman" w:hAnsi="Times New Roman" w:eastAsia="Times New Roman"/>
          <w:sz w:val="19"/>
        </w:rPr>
        <w:t>PhiUSIIL [1] memuat 235.795 baris dan 56 kolom. Pada sumber, label legitim dikodekan 1 (134.850 baris) dan phishing 0 (100.945 baris); tidak ada kolom kosong. Pembersihan menghapus 425 duplikat persis berdasarkan pasangan (URL, label), tanpa menemukan URL yang berkonflik label, sehingga tersisa 235.370 baris. Analisis E5 saat ini memetakan label hasil pembersihan menjadi phishing=1 dan legitim=0. Tidak ada hasil metrik E3 yang digunakan sebagai metrik positif-phishing dalam artikel ini.</w:t>
      </w:r>
    </w:p>
    <w:p>
      <w:pPr>
        <w:spacing w:after="60"/>
        <w:ind w:firstLine="283"/>
        <w:jc w:val="both"/>
      </w:pPr>
      <w:r>
        <w:rPr>
          <w:rFonts w:ascii="Times New Roman" w:hAnsi="Times New Roman" w:eastAsia="Times New Roman"/>
          <w:sz w:val="19"/>
        </w:rPr>
        <w:t xml:space="preserve">Pembersihan membuang tepat empat kolom sesuai daftar DROP_COLS pada notebook pembersihan, yaitu </w:t>
      </w:r>
      <w:r>
        <w:rPr>
          <w:rFonts w:ascii="Consolas" w:hAnsi="Consolas" w:eastAsia="Consolas"/>
          <w:sz w:val="18"/>
        </w:rPr>
        <w:t>FILENAME</w:t>
      </w:r>
      <w:r>
        <w:rPr>
          <w:rFonts w:ascii="Times New Roman" w:hAnsi="Times New Roman" w:eastAsia="Times New Roman"/>
          <w:sz w:val="19"/>
        </w:rPr>
        <w:t xml:space="preserve">, URLSimilarityIndex, DomainTitleMatchScore, dan URLTitleMatchScore; FILENAME merupakan artefak pengumpulan, sedangkan tiga lainnya dibuang berdasarkan penyaringan konservatif atas asosiasi univariat teramati dengan label, dengan AUC tunggal 0,9961, 0,7923, dan 0,7707. Di antara ketiga kolom yang dibuang itu, hanya </w:t>
      </w:r>
      <w:r>
        <w:rPr>
          <w:rFonts w:ascii="Consolas" w:hAnsi="Consolas" w:eastAsia="Consolas"/>
          <w:sz w:val="18"/>
        </w:rPr>
        <w:t>URLSimilarityIndex</w:t>
      </w:r>
      <w:r>
        <w:rPr>
          <w:rFonts w:ascii="Times New Roman" w:hAnsi="Times New Roman" w:eastAsia="Times New Roman"/>
          <w:sz w:val="19"/>
        </w:rPr>
        <w:t xml:space="preserve"> yang berada dekat plafon AUC. Dua kolom ber-AUC sangat tinggi lainnya, yaitu </w:t>
      </w:r>
      <w:r>
        <w:rPr>
          <w:rFonts w:ascii="Consolas" w:hAnsi="Consolas" w:eastAsia="Consolas"/>
          <w:sz w:val="18"/>
        </w:rPr>
        <w:t>LineOfCode</w:t>
      </w:r>
      <w:r>
        <w:rPr>
          <w:rFonts w:ascii="Times New Roman" w:hAnsi="Times New Roman" w:eastAsia="Times New Roman"/>
          <w:sz w:val="19"/>
        </w:rPr>
        <w:t xml:space="preserve"> (0,9903) dan </w:t>
      </w:r>
      <w:r>
        <w:rPr>
          <w:rFonts w:ascii="Consolas" w:hAnsi="Consolas" w:eastAsia="Consolas"/>
          <w:sz w:val="18"/>
        </w:rPr>
        <w:t>NoOfExternalRef</w:t>
      </w:r>
      <w:r>
        <w:rPr>
          <w:rFonts w:ascii="Times New Roman" w:hAnsi="Times New Roman" w:eastAsia="Times New Roman"/>
          <w:sz w:val="19"/>
        </w:rPr>
        <w:t xml:space="preserve"> (0,9880), </w:t>
      </w:r>
      <w:r>
        <w:rPr>
          <w:rFonts w:ascii="Times New Roman" w:hAnsi="Times New Roman" w:eastAsia="Times New Roman"/>
          <w:b/>
          <w:sz w:val="19"/>
        </w:rPr>
        <w:t>tidak</w:t>
      </w:r>
      <w:r>
        <w:rPr>
          <w:rFonts w:ascii="Times New Roman" w:hAnsi="Times New Roman" w:eastAsia="Times New Roman"/>
          <w:sz w:val="19"/>
        </w:rPr>
        <w:t xml:space="preserve"> dibuang dan tetap berada dalam konfigurasi acuan: skema parquet hasil pembersihan memuat keduanya, dan 47 dari 52 kolom sumber tersisa digunakan sebagai fitur A0. AUC ini menggambarkan separabilitas dan tidak membuktikan derivasi fitur dari label.</w:t>
      </w:r>
      <w:r>
        <w:rPr>
          <w:rFonts w:ascii="Times New Roman" w:hAnsi="Times New Roman" w:eastAsia="Times New Roman"/>
          <w:sz w:val="19"/>
        </w:rPr>
        <w:t xml:space="preserve"> Nilai AUC ditampilkan hingga empat desimal; pernyataan "di atas 0,988" karena itu dibaca sebagai sekitar 0,988 atau lebih, bukan sebagai perbandingan nilai terbulatkan.</w:t>
      </w:r>
    </w:p>
    <w:p>
      <w:pPr>
        <w:spacing w:after="60"/>
        <w:ind w:firstLine="283"/>
        <w:jc w:val="both"/>
      </w:pPr>
      <w:r>
        <w:rPr>
          <w:rFonts w:ascii="Times New Roman" w:hAnsi="Times New Roman" w:eastAsia="Times New Roman"/>
          <w:sz w:val="19"/>
        </w:rPr>
        <w:t>Dataset PhreshPhish, yang saat ini dideskripsikan dalam sebuah preprint [2], digunakan untuk dua peran yang tidak dicampur: evaluasi temporal dalam-korpus dan target transfer lintas-korpus. Korpus ini dikumpulkan melalui pipeline, vendor, dan jendela waktu yang berbeda dari PhiUSIIL. Evaluasi temporal melatih model pada periode awal PhreshPhish, sedangkan transfer lintas-korpus dijalankan dua arah: arah maju melatih model hanya pada PhiUSIIL dan menggunakan kohort uji PhreshPhish sebagai target tanpa adaptasi, dan arah balik melatih model hanya pada blok fit PhreshPhish dengan deduplikasi string URL persis lalu menguji pada PhiUSIIL tanpa adaptasi. Perbandingan tetap tidak mengisolasi penyebab pergeseran distribusi.</w:t>
      </w:r>
    </w:p>
    <w:p>
      <w:pPr>
        <w:pStyle w:val="Heading2"/>
        <w:ind w:firstLine="0"/>
        <w:jc w:val="left"/>
      </w:pPr>
      <w:r>
        <w:rPr>
          <w:rFonts w:ascii="Times New Roman" w:hAnsi="Times New Roman" w:eastAsia="Times New Roman"/>
          <w:sz w:val="20"/>
        </w:rPr>
        <w:t>2.3 Protokol Pembagian Data</w:t>
      </w:r>
    </w:p>
    <w:p>
      <w:pPr>
        <w:spacing w:after="60"/>
        <w:ind w:firstLine="283"/>
        <w:jc w:val="both"/>
      </w:pPr>
      <w:r>
        <w:rPr>
          <w:rFonts w:ascii="Times New Roman" w:hAnsi="Times New Roman" w:eastAsia="Times New Roman"/>
          <w:sz w:val="19"/>
        </w:rPr>
        <w:t>Dua protokol dibandingkan pada PhiUSIIL.</w:t>
      </w:r>
    </w:p>
    <w:p>
      <w:pPr>
        <w:spacing w:after="60"/>
        <w:ind w:firstLine="283"/>
        <w:jc w:val="both"/>
      </w:pPr>
      <w:r>
        <w:rPr>
          <w:rFonts w:ascii="Times New Roman" w:hAnsi="Times New Roman" w:eastAsia="Times New Roman"/>
          <w:b/>
          <w:sz w:val="19"/>
        </w:rPr>
        <w:t>Pembagian acak (URL-level).</w:t>
      </w:r>
      <w:r>
        <w:rPr>
          <w:rFonts w:ascii="Times New Roman" w:hAnsi="Times New Roman" w:eastAsia="Times New Roman"/>
          <w:sz w:val="19"/>
        </w:rPr>
        <w:t xml:space="preserve"> Baris dibagi secara acak tanpa memperhatikan domain. Protokol ini mewakili praktik yang dominan dalam literatur. Ukuran himpunan uji adalah 47.074 baris untuk setiap seed.</w:t>
      </w:r>
    </w:p>
    <w:p>
      <w:pPr>
        <w:spacing w:after="60"/>
        <w:ind w:firstLine="283"/>
        <w:jc w:val="both"/>
      </w:pPr>
      <w:r>
        <w:rPr>
          <w:rFonts w:ascii="Times New Roman" w:hAnsi="Times New Roman" w:eastAsia="Times New Roman"/>
          <w:b/>
          <w:sz w:val="19"/>
        </w:rPr>
        <w:t>Pembagian site-disjoint (registrable-domain level).</w:t>
      </w:r>
      <w:r>
        <w:rPr>
          <w:rFonts w:ascii="Times New Roman" w:hAnsi="Times New Roman" w:eastAsia="Times New Roman"/>
          <w:sz w:val="19"/>
        </w:rPr>
        <w:t xml:space="preserve"> Seluruh baris yang berbagi satu registrable domain ditempatkan pada sisi yang sama. Domain dihitung menggunakan kebijakan sufiks bawaan </w:t>
      </w:r>
      <w:r>
        <w:rPr>
          <w:rFonts w:ascii="Consolas" w:hAnsi="Consolas" w:eastAsia="Consolas"/>
          <w:sz w:val="18"/>
        </w:rPr>
        <w:t>tldextract</w:t>
      </w:r>
      <w:r>
        <w:rPr>
          <w:rFonts w:ascii="Times New Roman" w:hAnsi="Times New Roman" w:eastAsia="Times New Roman"/>
          <w:sz w:val="19"/>
        </w:rPr>
        <w:t>, yaitu daftar Public Suffix List publik. Ukuran himpunan uji bervariasi antarseed.</w:t>
      </w:r>
    </w:p>
    <w:p>
      <w:pPr>
        <w:spacing w:after="60"/>
        <w:ind w:firstLine="283"/>
        <w:jc w:val="both"/>
      </w:pPr>
      <w:r>
        <w:rPr>
          <w:rFonts w:ascii="Times New Roman" w:hAnsi="Times New Roman" w:eastAsia="Times New Roman"/>
          <w:sz w:val="19"/>
        </w:rPr>
        <w:t xml:space="preserve">Satu batasan protokol perlu dinyatakan di muka. Kebijakan sufiks bawaan memperlakukan penyewa berbeda pada platform hosting bersama sebagai bagian dari satu registrable domain. Sebagai contoh, </w:t>
      </w:r>
      <w:r>
        <w:rPr>
          <w:rFonts w:ascii="Consolas" w:hAnsi="Consolas" w:eastAsia="Consolas"/>
          <w:sz w:val="18"/>
        </w:rPr>
        <w:t>web.app</w:t>
      </w:r>
      <w:r>
        <w:rPr>
          <w:rFonts w:ascii="Times New Roman" w:hAnsi="Times New Roman" w:eastAsia="Times New Roman"/>
          <w:sz w:val="19"/>
        </w:rPr>
        <w:t xml:space="preserve"> menampung 5.718 baris, </w:t>
      </w:r>
      <w:r>
        <w:rPr>
          <w:rFonts w:ascii="Consolas" w:hAnsi="Consolas" w:eastAsia="Consolas"/>
          <w:sz w:val="18"/>
        </w:rPr>
        <w:t>firebaseapp.com</w:t>
      </w:r>
      <w:r>
        <w:rPr>
          <w:rFonts w:ascii="Times New Roman" w:hAnsi="Times New Roman" w:eastAsia="Times New Roman"/>
          <w:sz w:val="19"/>
        </w:rPr>
        <w:t xml:space="preserve"> 5.546 baris, </w:t>
      </w:r>
      <w:r>
        <w:rPr>
          <w:rFonts w:ascii="Consolas" w:hAnsi="Consolas" w:eastAsia="Consolas"/>
          <w:sz w:val="18"/>
        </w:rPr>
        <w:t>repl.co</w:t>
      </w:r>
      <w:r>
        <w:rPr>
          <w:rFonts w:ascii="Times New Roman" w:hAnsi="Times New Roman" w:eastAsia="Times New Roman"/>
          <w:sz w:val="19"/>
        </w:rPr>
        <w:t xml:space="preserve"> 3.746 baris, </w:t>
      </w:r>
      <w:r>
        <w:rPr>
          <w:rFonts w:ascii="Consolas" w:hAnsi="Consolas" w:eastAsia="Consolas"/>
          <w:sz w:val="18"/>
        </w:rPr>
        <w:t>weeblysite.com</w:t>
      </w:r>
      <w:r>
        <w:rPr>
          <w:rFonts w:ascii="Times New Roman" w:hAnsi="Times New Roman" w:eastAsia="Times New Roman"/>
          <w:sz w:val="19"/>
        </w:rPr>
        <w:t xml:space="preserve"> 3.079 baris, </w:t>
      </w:r>
      <w:r>
        <w:rPr>
          <w:rFonts w:ascii="Consolas" w:hAnsi="Consolas" w:eastAsia="Consolas"/>
          <w:sz w:val="18"/>
        </w:rPr>
        <w:t>ipfs.io</w:t>
      </w:r>
      <w:r>
        <w:rPr>
          <w:rFonts w:ascii="Times New Roman" w:hAnsi="Times New Roman" w:eastAsia="Times New Roman"/>
          <w:sz w:val="19"/>
        </w:rPr>
        <w:t xml:space="preserve"> 1.552 baris, dan </w:t>
      </w:r>
      <w:r>
        <w:rPr>
          <w:rFonts w:ascii="Consolas" w:hAnsi="Consolas" w:eastAsia="Consolas"/>
          <w:sz w:val="18"/>
        </w:rPr>
        <w:t>workers.dev</w:t>
      </w:r>
      <w:r>
        <w:rPr>
          <w:rFonts w:ascii="Times New Roman" w:hAnsi="Times New Roman" w:eastAsia="Times New Roman"/>
          <w:sz w:val="19"/>
        </w:rPr>
        <w:t xml:space="preserve"> 1.423 baris. Pembagian </w:t>
      </w:r>
      <w:r>
        <w:rPr>
          <w:rFonts w:ascii="Times New Roman" w:hAnsi="Times New Roman" w:eastAsia="Times New Roman"/>
          <w:i/>
          <w:sz w:val="19"/>
        </w:rPr>
        <w:t>site-disjoint</w:t>
      </w:r>
      <w:r>
        <w:rPr>
          <w:rFonts w:ascii="Times New Roman" w:hAnsi="Times New Roman" w:eastAsia="Times New Roman"/>
          <w:sz w:val="19"/>
        </w:rPr>
        <w:t xml:space="preserve"> karena itu memisahkan </w:t>
      </w:r>
      <w:r>
        <w:rPr>
          <w:rFonts w:ascii="Times New Roman" w:hAnsi="Times New Roman" w:eastAsia="Times New Roman"/>
          <w:b/>
          <w:sz w:val="19"/>
        </w:rPr>
        <w:t>registrable domain</w:t>
      </w:r>
      <w:r>
        <w:rPr>
          <w:rFonts w:ascii="Times New Roman" w:hAnsi="Times New Roman" w:eastAsia="Times New Roman"/>
          <w:sz w:val="19"/>
        </w:rPr>
        <w:t>, bukan penyewa. Batasan yang sama berlaku pada subset tanpa tumpang tindih ketat berbasis kunci registrable domain: penyewa independen pada platform bersama dapat memiliki kunci yang sama, sehingga pengelompokan ini tidak membuktikan independensi pada tingkat penyewa maupun identitas kampanye/operator yang sama.</w:t>
      </w:r>
      <w:r>
        <w:rPr>
          <w:rFonts w:ascii="Times New Roman" w:hAnsi="Times New Roman" w:eastAsia="Times New Roman"/>
          <w:sz w:val="19"/>
        </w:rPr>
        <w:t xml:space="preserve"> Pemeriksaan pada subset tanpa tumpang tindih ketat diperlakukan sebagai analisis sensitivitas atas prediksi yang tersimpan, bukan sebagai uji independen.</w:t>
      </w:r>
    </w:p>
    <w:p>
      <w:pPr>
        <w:spacing w:after="60"/>
        <w:ind w:firstLine="283"/>
        <w:jc w:val="both"/>
      </w:pPr>
      <w:r>
        <w:rPr>
          <w:rFonts w:ascii="Times New Roman" w:hAnsi="Times New Roman" w:eastAsia="Times New Roman"/>
          <w:sz w:val="19"/>
        </w:rPr>
        <w:t>Pada evaluasi temporal PhreshPhish, pembagian dilakukan berdasarkan waktu: model dilatih pada periode lebih awal dan diuji pada periode lebih akhir, dengan unit resampling berupa registrable domain.</w:t>
      </w:r>
    </w:p>
    <w:p>
      <w:pPr>
        <w:pStyle w:val="Heading2"/>
        <w:ind w:firstLine="0"/>
        <w:jc w:val="left"/>
      </w:pPr>
      <w:r>
        <w:rPr>
          <w:rFonts w:ascii="Times New Roman" w:hAnsi="Times New Roman" w:eastAsia="Times New Roman"/>
          <w:sz w:val="20"/>
        </w:rPr>
        <w:t>2.4 Konfigurasi Fitur</w:t>
      </w:r>
    </w:p>
    <w:p>
      <w:pPr>
        <w:spacing w:after="60"/>
        <w:ind w:firstLine="283"/>
        <w:jc w:val="both"/>
      </w:pPr>
      <w:r>
        <w:rPr>
          <w:rFonts w:ascii="Times New Roman" w:hAnsi="Times New Roman" w:eastAsia="Times New Roman"/>
          <w:sz w:val="19"/>
        </w:rPr>
        <w:t>Tiga konfigurasi fitur digunakan.</w:t>
      </w:r>
      <w:r>
        <w:rPr>
          <w:rFonts w:ascii="Times New Roman" w:hAnsi="Times New Roman" w:eastAsia="Times New Roman"/>
          <w:sz w:val="19"/>
        </w:rPr>
        <w:t xml:space="preserve"> Tabel 2 merangkum ketiganya.</w:t>
      </w:r>
    </w:p>
    <w:p>
      <w:pPr>
        <w:keepNext/>
        <w:spacing w:after="60"/>
        <w:ind w:firstLine="0"/>
        <w:jc w:val="center"/>
      </w:pPr>
      <w:r>
        <w:rPr>
          <w:rFonts w:ascii="Times New Roman" w:hAnsi="Times New Roman" w:eastAsia="Times New Roman"/>
          <w:b/>
          <w:sz w:val="17"/>
        </w:rPr>
        <w:t xml:space="preserve">Tabel 2. Konfigurasi fitur A0, A1, dan A2 yang dibandingkan.</w:t>
      </w:r>
    </w:p>
    <w:tbl>
      <w:tblPr>
        <w:tblStyle w:val="TableGrid"/>
        <w:tblW w:type="auto" w:w="0"/>
        <w:jc w:val="center"/>
        <w:tblLayout w:type="autofit"/>
        <w:tblLook w:firstColumn="1" w:firstRow="1" w:lastColumn="0" w:lastRow="0" w:noHBand="0" w:noVBand="1" w:val="04A0"/>
      </w:tblPr>
      <w:tblGrid>
        <w:gridCol w:w="2338"/>
        <w:gridCol w:w="2338"/>
        <w:gridCol w:w="2338"/>
        <w:gridCol w:w="2338"/>
      </w:tblGrid>
      <w:tr>
        <w:trPr>
          <w:cantSplit/>
          <w:tblHeader w:val="true"/>
        </w:trPr>
        <w:tc>
          <w:tcPr>
            <w:tcW w:type="dxa" w:w="2338"/>
            <w:vAlign w:val="center"/>
          </w:tcPr>
          <w:p>
            <w:pPr>
              <w:spacing w:after="0"/>
              <w:ind w:firstLine="0"/>
              <w:jc w:val="center"/>
            </w:pPr>
            <w:r>
              <w:rPr>
                <w:rFonts w:ascii="Times New Roman" w:hAnsi="Times New Roman" w:eastAsia="Times New Roman"/>
                <w:b/>
                <w:sz w:val="14"/>
              </w:rPr>
              <w:t>Konfigurasi</w:t>
            </w:r>
          </w:p>
        </w:tc>
        <w:tc>
          <w:tcPr>
            <w:tcW w:type="dxa" w:w="2338"/>
            <w:vAlign w:val="center"/>
          </w:tcPr>
          <w:p>
            <w:pPr>
              <w:spacing w:after="0"/>
              <w:ind w:firstLine="0"/>
              <w:jc w:val="center"/>
            </w:pPr>
            <w:r>
              <w:rPr>
                <w:rFonts w:ascii="Times New Roman" w:hAnsi="Times New Roman" w:eastAsia="Times New Roman"/>
                <w:b/>
                <w:sz w:val="14"/>
              </w:rPr>
              <w:t>Jumlah fitur</w:t>
            </w:r>
          </w:p>
        </w:tc>
        <w:tc>
          <w:tcPr>
            <w:tcW w:type="dxa" w:w="2338"/>
            <w:vAlign w:val="center"/>
          </w:tcPr>
          <w:p>
            <w:pPr>
              <w:spacing w:after="0"/>
              <w:ind w:firstLine="0"/>
              <w:jc w:val="center"/>
            </w:pPr>
            <w:r>
              <w:rPr>
                <w:rFonts w:ascii="Times New Roman" w:hAnsi="Times New Roman" w:eastAsia="Times New Roman"/>
                <w:b/>
                <w:sz w:val="14"/>
              </w:rPr>
              <w:t>Sumber</w:t>
            </w:r>
          </w:p>
        </w:tc>
        <w:tc>
          <w:tcPr>
            <w:tcW w:type="dxa" w:w="2338"/>
            <w:vAlign w:val="center"/>
          </w:tcPr>
          <w:p>
            <w:pPr>
              <w:spacing w:after="0"/>
              <w:ind w:firstLine="0"/>
              <w:jc w:val="center"/>
            </w:pPr>
            <w:r>
              <w:rPr>
                <w:rFonts w:ascii="Times New Roman" w:hAnsi="Times New Roman" w:eastAsia="Times New Roman"/>
                <w:b/>
                <w:sz w:val="14"/>
              </w:rPr>
              <w:t>Peran dalam desain</w:t>
            </w:r>
          </w:p>
        </w:tc>
      </w:tr>
      <w:tr>
        <w:trPr>
          <w:cantSplit/>
        </w:trPr>
        <w:tc>
          <w:tcPr>
            <w:tcW w:type="dxa" w:w="2338"/>
            <w:vAlign w:val="center"/>
          </w:tcPr>
          <w:p>
            <w:pPr>
              <w:spacing w:after="0"/>
              <w:ind w:firstLine="0"/>
              <w:jc w:val="left"/>
            </w:pPr>
            <w:r>
              <w:rPr>
                <w:rFonts w:ascii="Times New Roman" w:hAnsi="Times New Roman" w:eastAsia="Times New Roman"/>
                <w:sz w:val="14"/>
              </w:rPr>
              <w:t>A0</w:t>
            </w:r>
          </w:p>
        </w:tc>
        <w:tc>
          <w:tcPr>
            <w:tcW w:type="dxa" w:w="2338"/>
            <w:vAlign w:val="center"/>
          </w:tcPr>
          <w:p>
            <w:pPr>
              <w:spacing w:after="0"/>
              <w:ind w:firstLine="0"/>
              <w:jc w:val="center"/>
            </w:pPr>
            <w:r>
              <w:rPr>
                <w:rFonts w:ascii="Times New Roman" w:hAnsi="Times New Roman" w:eastAsia="Times New Roman"/>
                <w:sz w:val="14"/>
              </w:rPr>
              <w:t>47</w:t>
            </w:r>
          </w:p>
        </w:tc>
        <w:tc>
          <w:tcPr>
            <w:tcW w:type="dxa" w:w="2338"/>
            <w:vAlign w:val="center"/>
          </w:tcPr>
          <w:p>
            <w:pPr>
              <w:spacing w:after="0"/>
              <w:ind w:firstLine="0"/>
              <w:jc w:val="center"/>
            </w:pPr>
            <w:r>
              <w:rPr>
                <w:rFonts w:ascii="Times New Roman" w:hAnsi="Times New Roman" w:eastAsia="Times New Roman"/>
                <w:sz w:val="14"/>
              </w:rPr>
              <w:t xml:space="preserve">Kolom terhitung pada </w:t>
            </w:r>
            <w:r>
              <w:rPr>
                <w:rFonts w:ascii="Consolas" w:hAnsi="Consolas" w:eastAsia="Consolas"/>
                <w:sz w:val="14"/>
              </w:rPr>
              <w:t>phiusiil_clean.parquet</w:t>
            </w:r>
          </w:p>
        </w:tc>
        <w:tc>
          <w:tcPr>
            <w:tcW w:type="dxa" w:w="2338"/>
            <w:vAlign w:val="center"/>
          </w:tcPr>
          <w:p>
            <w:pPr>
              <w:spacing w:after="0"/>
              <w:ind w:firstLine="0"/>
              <w:jc w:val="center"/>
            </w:pPr>
            <w:r>
              <w:rPr>
                <w:rFonts w:ascii="Times New Roman" w:hAnsi="Times New Roman" w:eastAsia="Times New Roman"/>
                <w:sz w:val="14"/>
              </w:rPr>
              <w:t>Konfigurasi acuan</w:t>
            </w:r>
          </w:p>
        </w:tc>
      </w:tr>
      <w:tr>
        <w:trPr>
          <w:cantSplit/>
        </w:trPr>
        <w:tc>
          <w:tcPr>
            <w:tcW w:type="dxa" w:w="2338"/>
            <w:vAlign w:val="center"/>
          </w:tcPr>
          <w:p>
            <w:pPr>
              <w:spacing w:after="0"/>
              <w:ind w:firstLine="0"/>
              <w:jc w:val="left"/>
            </w:pPr>
            <w:r>
              <w:rPr>
                <w:rFonts w:ascii="Times New Roman" w:hAnsi="Times New Roman" w:eastAsia="Times New Roman"/>
                <w:sz w:val="14"/>
              </w:rPr>
              <w:t>A1</w:t>
            </w:r>
          </w:p>
        </w:tc>
        <w:tc>
          <w:tcPr>
            <w:tcW w:type="dxa" w:w="2338"/>
            <w:vAlign w:val="center"/>
          </w:tcPr>
          <w:p>
            <w:pPr>
              <w:spacing w:after="0"/>
              <w:ind w:firstLine="0"/>
              <w:jc w:val="center"/>
            </w:pPr>
            <w:r>
              <w:rPr>
                <w:rFonts w:ascii="Times New Roman" w:hAnsi="Times New Roman" w:eastAsia="Times New Roman"/>
                <w:sz w:val="14"/>
              </w:rPr>
              <w:t>41</w:t>
            </w:r>
          </w:p>
        </w:tc>
        <w:tc>
          <w:tcPr>
            <w:tcW w:type="dxa" w:w="2338"/>
            <w:vAlign w:val="center"/>
          </w:tcPr>
          <w:p>
            <w:pPr>
              <w:spacing w:after="0"/>
              <w:ind w:firstLine="0"/>
              <w:jc w:val="center"/>
            </w:pPr>
            <w:r>
              <w:rPr>
                <w:rFonts w:ascii="Times New Roman" w:hAnsi="Times New Roman" w:eastAsia="Times New Roman"/>
                <w:sz w:val="14"/>
              </w:rPr>
              <w:t>A0 dikurangi enam fitur konten</w:t>
            </w:r>
          </w:p>
        </w:tc>
        <w:tc>
          <w:tcPr>
            <w:tcW w:type="dxa" w:w="2338"/>
            <w:vAlign w:val="center"/>
          </w:tcPr>
          <w:p>
            <w:pPr>
              <w:spacing w:after="0"/>
              <w:ind w:firstLine="0"/>
              <w:jc w:val="center"/>
            </w:pPr>
            <w:r>
              <w:rPr>
                <w:rFonts w:ascii="Times New Roman" w:hAnsi="Times New Roman" w:eastAsia="Times New Roman"/>
                <w:sz w:val="14"/>
              </w:rPr>
              <w:t>Ablasi kelompok terkontrol</w:t>
            </w:r>
          </w:p>
        </w:tc>
      </w:tr>
      <w:tr>
        <w:trPr>
          <w:cantSplit/>
        </w:trPr>
        <w:tc>
          <w:tcPr>
            <w:tcW w:type="dxa" w:w="2338"/>
            <w:vAlign w:val="center"/>
          </w:tcPr>
          <w:p>
            <w:pPr>
              <w:spacing w:after="0"/>
              <w:ind w:firstLine="0"/>
              <w:jc w:val="left"/>
            </w:pPr>
            <w:r>
              <w:rPr>
                <w:rFonts w:ascii="Times New Roman" w:hAnsi="Times New Roman" w:eastAsia="Times New Roman"/>
                <w:sz w:val="14"/>
              </w:rPr>
              <w:t>A2</w:t>
            </w:r>
          </w:p>
        </w:tc>
        <w:tc>
          <w:tcPr>
            <w:tcW w:type="dxa" w:w="2338"/>
            <w:vAlign w:val="center"/>
          </w:tcPr>
          <w:p>
            <w:pPr>
              <w:spacing w:after="0"/>
              <w:ind w:firstLine="0"/>
              <w:jc w:val="center"/>
            </w:pPr>
            <w:r>
              <w:rPr>
                <w:rFonts w:ascii="Times New Roman" w:hAnsi="Times New Roman" w:eastAsia="Times New Roman"/>
                <w:sz w:val="14"/>
              </w:rPr>
              <w:t>18</w:t>
            </w:r>
          </w:p>
        </w:tc>
        <w:tc>
          <w:tcPr>
            <w:tcW w:type="dxa" w:w="2338"/>
            <w:vAlign w:val="center"/>
          </w:tcPr>
          <w:p>
            <w:pPr>
              <w:spacing w:after="0"/>
              <w:ind w:firstLine="0"/>
              <w:jc w:val="center"/>
            </w:pPr>
            <w:r>
              <w:rPr>
                <w:rFonts w:ascii="Times New Roman" w:hAnsi="Times New Roman" w:eastAsia="Times New Roman"/>
                <w:sz w:val="14"/>
              </w:rPr>
              <w:t>Dihitung deterministik per URL dari URL mentah menggunakan ekstraktor bersama; tidak menyalin nilai sumber yang telah dihitung sebelumnya.</w:t>
            </w:r>
          </w:p>
        </w:tc>
        <w:tc>
          <w:tcPr>
            <w:tcW w:type="dxa" w:w="2338"/>
            <w:vAlign w:val="center"/>
          </w:tcPr>
          <w:p>
            <w:pPr>
              <w:spacing w:after="0"/>
              <w:ind w:firstLine="0"/>
              <w:jc w:val="center"/>
            </w:pPr>
            <w:r>
              <w:rPr>
                <w:rFonts w:ascii="Times New Roman" w:hAnsi="Times New Roman" w:eastAsia="Times New Roman"/>
                <w:sz w:val="14"/>
              </w:rPr>
              <w:t>Representasi URL-only; juga dipakai pada PhreshPhish</w:t>
            </w:r>
          </w:p>
        </w:tc>
      </w:tr>
    </w:tbl>
    <w:p>
      <w:pPr>
        <w:spacing w:after="20"/>
        <w:ind w:firstLine="0"/>
      </w:pPr>
    </w:p>
    <w:p>
      <w:pPr>
        <w:spacing w:after="60"/>
        <w:ind w:firstLine="283"/>
        <w:jc w:val="both"/>
      </w:pPr>
      <w:r>
        <w:rPr>
          <w:rFonts w:ascii="Times New Roman" w:hAnsi="Times New Roman" w:eastAsia="Times New Roman"/>
          <w:sz w:val="19"/>
        </w:rPr>
        <w:t xml:space="preserve">Enam fitur yang dihapus untuk membentuk A1 adalah </w:t>
      </w:r>
      <w:r>
        <w:rPr>
          <w:rFonts w:ascii="Consolas" w:hAnsi="Consolas" w:eastAsia="Consolas"/>
          <w:sz w:val="18"/>
        </w:rPr>
        <w:t>LineOfCode</w:t>
      </w:r>
      <w:r>
        <w:rPr>
          <w:rFonts w:ascii="Times New Roman" w:hAnsi="Times New Roman" w:eastAsia="Times New Roman"/>
          <w:sz w:val="19"/>
        </w:rPr>
        <w:t xml:space="preserve">, </w:t>
      </w:r>
      <w:r>
        <w:rPr>
          <w:rFonts w:ascii="Consolas" w:hAnsi="Consolas" w:eastAsia="Consolas"/>
          <w:sz w:val="18"/>
        </w:rPr>
        <w:t>NoOfImage</w:t>
      </w:r>
      <w:r>
        <w:rPr>
          <w:rFonts w:ascii="Times New Roman" w:hAnsi="Times New Roman" w:eastAsia="Times New Roman"/>
          <w:sz w:val="19"/>
        </w:rPr>
        <w:t xml:space="preserve">, </w:t>
      </w:r>
      <w:r>
        <w:rPr>
          <w:rFonts w:ascii="Consolas" w:hAnsi="Consolas" w:eastAsia="Consolas"/>
          <w:sz w:val="18"/>
        </w:rPr>
        <w:t>NoOfCSS</w:t>
      </w:r>
      <w:r>
        <w:rPr>
          <w:rFonts w:ascii="Times New Roman" w:hAnsi="Times New Roman" w:eastAsia="Times New Roman"/>
          <w:sz w:val="19"/>
        </w:rPr>
        <w:t xml:space="preserve">, </w:t>
      </w:r>
      <w:r>
        <w:rPr>
          <w:rFonts w:ascii="Consolas" w:hAnsi="Consolas" w:eastAsia="Consolas"/>
          <w:sz w:val="18"/>
        </w:rPr>
        <w:t>NoOfJS</w:t>
      </w:r>
      <w:r>
        <w:rPr>
          <w:rFonts w:ascii="Times New Roman" w:hAnsi="Times New Roman" w:eastAsia="Times New Roman"/>
          <w:sz w:val="19"/>
        </w:rPr>
        <w:t xml:space="preserve">, </w:t>
      </w:r>
      <w:r>
        <w:rPr>
          <w:rFonts w:ascii="Consolas" w:hAnsi="Consolas" w:eastAsia="Consolas"/>
          <w:sz w:val="18"/>
        </w:rPr>
        <w:t>NoOfSelfRef</w:t>
      </w:r>
      <w:r>
        <w:rPr>
          <w:rFonts w:ascii="Times New Roman" w:hAnsi="Times New Roman" w:eastAsia="Times New Roman"/>
          <w:sz w:val="19"/>
        </w:rPr>
        <w:t xml:space="preserve">, dan </w:t>
      </w:r>
      <w:r>
        <w:rPr>
          <w:rFonts w:ascii="Consolas" w:hAnsi="Consolas" w:eastAsia="Consolas"/>
          <w:sz w:val="18"/>
        </w:rPr>
        <w:t>NoOfExternalRef</w:t>
      </w:r>
      <w:r>
        <w:rPr>
          <w:rFonts w:ascii="Times New Roman" w:hAnsi="Times New Roman" w:eastAsia="Times New Roman"/>
          <w:sz w:val="19"/>
        </w:rPr>
        <w:t xml:space="preserve">. Karena keenamnya dihapus bersama, A1 mengukur efek </w:t>
      </w:r>
      <w:r>
        <w:rPr>
          <w:rFonts w:ascii="Times New Roman" w:hAnsi="Times New Roman" w:eastAsia="Times New Roman"/>
          <w:b/>
          <w:sz w:val="19"/>
        </w:rPr>
        <w:t>kelompok</w:t>
      </w:r>
      <w:r>
        <w:rPr>
          <w:rFonts w:ascii="Times New Roman" w:hAnsi="Times New Roman" w:eastAsia="Times New Roman"/>
          <w:sz w:val="19"/>
        </w:rPr>
        <w:t xml:space="preserve"> fitur konten, bukan efek masing-masing fitur. Rancangan ini tidak mengidentifikasi fitur mana di dalam kelompok yang bertanggung jawab atas perubahan.</w:t>
      </w:r>
    </w:p>
    <w:p>
      <w:pPr>
        <w:spacing w:after="60"/>
        <w:ind w:firstLine="283"/>
        <w:jc w:val="both"/>
      </w:pPr>
      <w:r>
        <w:rPr>
          <w:rFonts w:ascii="Times New Roman" w:hAnsi="Times New Roman" w:eastAsia="Times New Roman"/>
          <w:sz w:val="19"/>
        </w:rPr>
        <w:t xml:space="preserve">A2 adalah kontrak terurut 18 fitur leksikal dan host yang dihitung deterministik per URL menggunakan ekstraktor URL mentah bersama: </w:t>
      </w:r>
      <w:r>
        <w:rPr>
          <w:rFonts w:ascii="Consolas" w:hAnsi="Consolas" w:eastAsia="Consolas"/>
          <w:sz w:val="18"/>
        </w:rPr>
        <w:t>URLLength</w:t>
      </w:r>
      <w:r>
        <w:rPr>
          <w:rFonts w:ascii="Times New Roman" w:hAnsi="Times New Roman" w:eastAsia="Times New Roman"/>
          <w:sz w:val="19"/>
        </w:rPr>
        <w:t xml:space="preserve">, </w:t>
      </w:r>
      <w:r>
        <w:rPr>
          <w:rFonts w:ascii="Consolas" w:hAnsi="Consolas" w:eastAsia="Consolas"/>
          <w:sz w:val="18"/>
        </w:rPr>
        <w:t>DomainLength</w:t>
      </w:r>
      <w:r>
        <w:rPr>
          <w:rFonts w:ascii="Times New Roman" w:hAnsi="Times New Roman" w:eastAsia="Times New Roman"/>
          <w:sz w:val="19"/>
        </w:rPr>
        <w:t xml:space="preserve">, </w:t>
      </w:r>
      <w:r>
        <w:rPr>
          <w:rFonts w:ascii="Consolas" w:hAnsi="Consolas" w:eastAsia="Consolas"/>
          <w:sz w:val="18"/>
        </w:rPr>
        <w:t>TLDLength</w:t>
      </w:r>
      <w:r>
        <w:rPr>
          <w:rFonts w:ascii="Times New Roman" w:hAnsi="Times New Roman" w:eastAsia="Times New Roman"/>
          <w:sz w:val="19"/>
        </w:rPr>
        <w:t xml:space="preserve">, </w:t>
      </w:r>
      <w:r>
        <w:rPr>
          <w:rFonts w:ascii="Consolas" w:hAnsi="Consolas" w:eastAsia="Consolas"/>
          <w:sz w:val="18"/>
        </w:rPr>
        <w:t>NoOfSubDomain</w:t>
      </w:r>
      <w:r>
        <w:rPr>
          <w:rFonts w:ascii="Times New Roman" w:hAnsi="Times New Roman" w:eastAsia="Times New Roman"/>
          <w:sz w:val="19"/>
        </w:rPr>
        <w:t xml:space="preserve">, </w:t>
      </w:r>
      <w:r>
        <w:rPr>
          <w:rFonts w:ascii="Consolas" w:hAnsi="Consolas" w:eastAsia="Consolas"/>
          <w:sz w:val="18"/>
        </w:rPr>
        <w:t>NoOfObfuscatedChar</w:t>
      </w:r>
      <w:r>
        <w:rPr>
          <w:rFonts w:ascii="Times New Roman" w:hAnsi="Times New Roman" w:eastAsia="Times New Roman"/>
          <w:sz w:val="19"/>
        </w:rPr>
        <w:t xml:space="preserve">, </w:t>
      </w:r>
      <w:r>
        <w:rPr>
          <w:rFonts w:ascii="Consolas" w:hAnsi="Consolas" w:eastAsia="Consolas"/>
          <w:sz w:val="18"/>
        </w:rPr>
        <w:t>ObfuscationRatio</w:t>
      </w:r>
      <w:r>
        <w:rPr>
          <w:rFonts w:ascii="Times New Roman" w:hAnsi="Times New Roman" w:eastAsia="Times New Roman"/>
          <w:sz w:val="19"/>
        </w:rPr>
        <w:t xml:space="preserve">, </w:t>
      </w:r>
      <w:r>
        <w:rPr>
          <w:rFonts w:ascii="Consolas" w:hAnsi="Consolas" w:eastAsia="Consolas"/>
          <w:sz w:val="18"/>
        </w:rPr>
        <w:t>NoOfLettersInURL</w:t>
      </w:r>
      <w:r>
        <w:rPr>
          <w:rFonts w:ascii="Times New Roman" w:hAnsi="Times New Roman" w:eastAsia="Times New Roman"/>
          <w:sz w:val="19"/>
        </w:rPr>
        <w:t xml:space="preserve">, </w:t>
      </w:r>
      <w:r>
        <w:rPr>
          <w:rFonts w:ascii="Consolas" w:hAnsi="Consolas" w:eastAsia="Consolas"/>
          <w:sz w:val="18"/>
        </w:rPr>
        <w:t>LetterRatioInURL</w:t>
      </w:r>
      <w:r>
        <w:rPr>
          <w:rFonts w:ascii="Times New Roman" w:hAnsi="Times New Roman" w:eastAsia="Times New Roman"/>
          <w:sz w:val="19"/>
        </w:rPr>
        <w:t xml:space="preserve">, </w:t>
      </w:r>
      <w:r>
        <w:rPr>
          <w:rFonts w:ascii="Consolas" w:hAnsi="Consolas" w:eastAsia="Consolas"/>
          <w:sz w:val="18"/>
        </w:rPr>
        <w:t>NoOfDegitsInURL</w:t>
      </w:r>
      <w:r>
        <w:rPr>
          <w:rFonts w:ascii="Times New Roman" w:hAnsi="Times New Roman" w:eastAsia="Times New Roman"/>
          <w:sz w:val="19"/>
        </w:rPr>
        <w:t xml:space="preserve">, </w:t>
      </w:r>
      <w:r>
        <w:rPr>
          <w:rFonts w:ascii="Consolas" w:hAnsi="Consolas" w:eastAsia="Consolas"/>
          <w:sz w:val="18"/>
        </w:rPr>
        <w:t>DegitRatioInURL</w:t>
      </w:r>
      <w:r>
        <w:rPr>
          <w:rFonts w:ascii="Times New Roman" w:hAnsi="Times New Roman" w:eastAsia="Times New Roman"/>
          <w:sz w:val="19"/>
        </w:rPr>
        <w:t xml:space="preserve">, </w:t>
      </w:r>
      <w:r>
        <w:rPr>
          <w:rFonts w:ascii="Consolas" w:hAnsi="Consolas" w:eastAsia="Consolas"/>
          <w:sz w:val="18"/>
        </w:rPr>
        <w:t>NoOfEqualsInURL</w:t>
      </w:r>
      <w:r>
        <w:rPr>
          <w:rFonts w:ascii="Times New Roman" w:hAnsi="Times New Roman" w:eastAsia="Times New Roman"/>
          <w:sz w:val="19"/>
        </w:rPr>
        <w:t xml:space="preserve">, </w:t>
      </w:r>
      <w:r>
        <w:rPr>
          <w:rFonts w:ascii="Consolas" w:hAnsi="Consolas" w:eastAsia="Consolas"/>
          <w:sz w:val="18"/>
        </w:rPr>
        <w:t>NoOfQMarkInURL</w:t>
      </w:r>
      <w:r>
        <w:rPr>
          <w:rFonts w:ascii="Times New Roman" w:hAnsi="Times New Roman" w:eastAsia="Times New Roman"/>
          <w:sz w:val="19"/>
        </w:rPr>
        <w:t xml:space="preserve">, </w:t>
      </w:r>
      <w:r>
        <w:rPr>
          <w:rFonts w:ascii="Consolas" w:hAnsi="Consolas" w:eastAsia="Consolas"/>
          <w:sz w:val="18"/>
        </w:rPr>
        <w:t>NoOfAmpersandInURL</w:t>
      </w:r>
      <w:r>
        <w:rPr>
          <w:rFonts w:ascii="Times New Roman" w:hAnsi="Times New Roman" w:eastAsia="Times New Roman"/>
          <w:sz w:val="19"/>
        </w:rPr>
        <w:t xml:space="preserve">, </w:t>
      </w:r>
      <w:r>
        <w:rPr>
          <w:rFonts w:ascii="Consolas" w:hAnsi="Consolas" w:eastAsia="Consolas"/>
          <w:sz w:val="18"/>
        </w:rPr>
        <w:t>NoOfOtherSpecialCharsInURL</w:t>
      </w:r>
      <w:r>
        <w:rPr>
          <w:rFonts w:ascii="Times New Roman" w:hAnsi="Times New Roman" w:eastAsia="Times New Roman"/>
          <w:sz w:val="19"/>
        </w:rPr>
        <w:t xml:space="preserve">, </w:t>
      </w:r>
      <w:r>
        <w:rPr>
          <w:rFonts w:ascii="Consolas" w:hAnsi="Consolas" w:eastAsia="Consolas"/>
          <w:sz w:val="18"/>
        </w:rPr>
        <w:t>SpacialCharRatioInURL</w:t>
      </w:r>
      <w:r>
        <w:rPr>
          <w:rFonts w:ascii="Times New Roman" w:hAnsi="Times New Roman" w:eastAsia="Times New Roman"/>
          <w:sz w:val="19"/>
        </w:rPr>
        <w:t xml:space="preserve">, </w:t>
      </w:r>
      <w:r>
        <w:rPr>
          <w:rFonts w:ascii="Consolas" w:hAnsi="Consolas" w:eastAsia="Consolas"/>
          <w:sz w:val="18"/>
        </w:rPr>
        <w:t>IsHTTPS</w:t>
      </w:r>
      <w:r>
        <w:rPr>
          <w:rFonts w:ascii="Times New Roman" w:hAnsi="Times New Roman" w:eastAsia="Times New Roman"/>
          <w:sz w:val="19"/>
        </w:rPr>
        <w:t xml:space="preserve">, </w:t>
      </w:r>
      <w:r>
        <w:rPr>
          <w:rFonts w:ascii="Consolas" w:hAnsi="Consolas" w:eastAsia="Consolas"/>
          <w:sz w:val="18"/>
        </w:rPr>
        <w:t>HasObfuscation</w:t>
      </w:r>
      <w:r>
        <w:rPr>
          <w:rFonts w:ascii="Times New Roman" w:hAnsi="Times New Roman" w:eastAsia="Times New Roman"/>
          <w:sz w:val="19"/>
        </w:rPr>
        <w:t xml:space="preserve">, dan </w:t>
      </w:r>
      <w:r>
        <w:rPr>
          <w:rFonts w:ascii="Consolas" w:hAnsi="Consolas" w:eastAsia="Consolas"/>
          <w:sz w:val="18"/>
        </w:rPr>
        <w:t>IsDomainIP</w:t>
      </w:r>
      <w:r>
        <w:rPr>
          <w:rFonts w:ascii="Times New Roman" w:hAnsi="Times New Roman" w:eastAsia="Times New Roman"/>
          <w:sz w:val="19"/>
        </w:rPr>
        <w:t>. Kesamaan kontrak dan ekstraktor tidak membuktikan kesamaan nilai A2 dengan kolom A0 terhitung sebelumnya yang memiliki nama serupa. Karena himpunan fitur dan representasinya berubah bersama, A2−A0 adalah kontras representasi, bukan ablasi satu faktor atau identitas dengan pengukuran sumber.</w:t>
      </w:r>
    </w:p>
    <w:p>
      <w:pPr>
        <w:spacing w:after="60"/>
        <w:ind w:firstLine="283"/>
        <w:jc w:val="both"/>
      </w:pPr>
      <w:r>
        <w:rPr>
          <w:rFonts w:ascii="Times New Roman" w:hAnsi="Times New Roman" w:eastAsia="Times New Roman"/>
          <w:sz w:val="19"/>
        </w:rPr>
        <w:t>A0 dan A1 menggunakan fitur tersimpan yang diwarisi dari dataset hasil pembersihan. Untuk fitur statistik dan fitur halaman/konten tersimpan, termasuk TLDLegitimateProb, URLCharProb, dan CharContinuationRate, producer hulu, populasi referensi, waktu komputasi, dan ketergantungan terhadap label belum diketahui. Probe target-encoding historis membuktikan kebocoran pada implementasi probe tersebut saja, yang menghitung rerata turunan-label sebelum pemisahan lanjutan. Bukti yang tersedia tidak menetapkan bahwa probe itu menghasilkan nilai A0/A1 yang tersimpan saat ini; fitting estimator saat ini pada baris latih juga tidak mensertifikasi provenance fitur hulu sebagai bebas kebocoran. A2 tidak mencakup TLDLegitimateProb atau URLCharProb.</w:t>
      </w:r>
    </w:p>
    <w:p>
      <w:pPr>
        <w:pStyle w:val="Heading2"/>
        <w:ind w:firstLine="0"/>
        <w:jc w:val="left"/>
      </w:pPr>
      <w:r>
        <w:rPr>
          <w:rFonts w:ascii="Times New Roman" w:hAnsi="Times New Roman" w:eastAsia="Times New Roman"/>
          <w:sz w:val="20"/>
        </w:rPr>
        <w:t>2.5 Model dan Pelatihan</w:t>
      </w:r>
    </w:p>
    <w:p>
      <w:pPr>
        <w:spacing w:after="60"/>
        <w:ind w:firstLine="283"/>
        <w:jc w:val="both"/>
      </w:pPr>
      <w:r>
        <w:rPr>
          <w:rFonts w:ascii="Times New Roman" w:hAnsi="Times New Roman" w:eastAsia="Times New Roman"/>
          <w:sz w:val="19"/>
        </w:rPr>
        <w:t>Dua model gradient boosting digunakan: LightGBM dan XGBoost. Keduanya dipilih sebagai pembanding karena telah digunakan dan dibandingkan dalam studi deteksi phishing URL [10]; pilihan ini juga mempertimbangkan biaya komputasi yang memungkinkan pengulangan lima seed, dan pertimbangan biaya tersebut merupakan keputusan desain studi ini, bukan klaim yang bersumber dari [10]. Setiap kombinasi protokol, konfigurasi, dan model dilatih dengan lima seed (13, 42, 777, 2024, 31415). Pada evaluasi temporal PhreshPhish, hasil XGBoost identik pada kelima seed karena prosedur histogram deterministik tanpa subsampling; hal ini dilaporkan sebagai keterbatasan variabilitas, bukan sebagai bukti kestabilan yang lebih tinggi.</w:t>
      </w:r>
    </w:p>
    <w:p>
      <w:pPr>
        <w:spacing w:after="60"/>
        <w:ind w:firstLine="283"/>
        <w:jc w:val="both"/>
      </w:pPr>
      <w:r>
        <w:rPr>
          <w:rFonts w:ascii="Times New Roman" w:hAnsi="Times New Roman" w:eastAsia="Times New Roman"/>
          <w:sz w:val="19"/>
        </w:rPr>
        <w:t>Ambang keputusan tetap 0,5 pada benchmark PhiUSIIL, evaluasi temporal utama, dan transfer lintas-korpus. Eksperimen operasional tambahan pada PhreshPhish membandingkan ambang 0,5 dengan tiga ambang yang dipilih hanya dari periode validasi; seluruh ambang kemudian dibekukan sebelum evaluasi pada periode uji.</w:t>
      </w:r>
    </w:p>
    <w:p>
      <w:pPr>
        <w:spacing w:after="60"/>
        <w:ind w:firstLine="283"/>
        <w:jc w:val="both"/>
      </w:pPr>
      <w:r>
        <w:rPr>
          <w:rFonts w:ascii="Times New Roman" w:hAnsi="Times New Roman" w:eastAsia="Times New Roman"/>
          <w:sz w:val="19"/>
        </w:rPr>
        <w:t xml:space="preserve">Konfigurasi model dan lingkungan dicatat untuk keterlacakan. LightGBM dilatih dengan 300 estimator, learning rate 0,05, dan 63 daun; XGBoost dilatih dengan 300 estimator, learning rate 0,05, max_depth 8, eval_metric logloss, dan tree_method hist. Tidak ada penyetelan hiperparameter pada korpus target. Lingkungan eksperimen menggunakan LightGBM 4.7.0, scikit-learn 1.9.1, tldextract 5.4.0, NumPy 2.5.3, dan pandas 3.1.0, dengan snapshot Public Suffix List ber-SHA-256 b69315c085d53972724b8f2df111ffc329b0c84fe0a47d62c8c91655cc774a38.</w:t>
      </w:r>
    </w:p>
    <w:p>
      <w:pPr>
        <w:pStyle w:val="Heading2"/>
        <w:ind w:firstLine="0"/>
        <w:jc w:val="left"/>
      </w:pPr>
      <w:r>
        <w:rPr>
          <w:rFonts w:ascii="Times New Roman" w:hAnsi="Times New Roman" w:eastAsia="Times New Roman"/>
          <w:sz w:val="20"/>
        </w:rPr>
        <w:t>2.6 Metrik dan Analisis Statistik</w:t>
      </w:r>
    </w:p>
    <w:p>
      <w:pPr>
        <w:spacing w:after="60"/>
        <w:ind w:firstLine="283"/>
        <w:jc w:val="both"/>
      </w:pPr>
      <w:r>
        <w:rPr>
          <w:rFonts w:ascii="Times New Roman" w:hAnsi="Times New Roman" w:eastAsia="Times New Roman"/>
          <w:sz w:val="19"/>
        </w:rPr>
        <w:t>Untuk analisis E5–E8 saat ini, label dipetakan menjadi legitim=0 dan phishing=1; phishing adalah kelas positif, dan FPR benign dihitung terhadap kelas legitim. Metrik utama adalah F1 kelas phishing, dilengkapi recall, precision, FPR benign, MCC, dan akurasi. Metrik E3 lama tidak digunakan sebagai metrik positif-phishing: E3 memakai pengodean sumber PhiUSIIL (legitim=1), sehingga precision, recall, F1, dan kolom probabilitas kelas 1 bawaan E3 bukan metrik positif-phishing.</w:t>
      </w:r>
    </w:p>
    <w:p>
      <w:pPr>
        <w:spacing w:after="60"/>
        <w:ind w:firstLine="283"/>
        <w:jc w:val="both"/>
      </w:pPr>
      <w:r>
        <w:rPr>
          <w:rFonts w:ascii="Times New Roman" w:hAnsi="Times New Roman" w:eastAsia="Times New Roman"/>
          <w:sz w:val="19"/>
        </w:rPr>
        <w:t xml:space="preserve">Interval kepercayaan 95 % untuk rata-rata lintas seed dihitung dengan distribusi t (df = 4) dari lima metrik per seed, dan tersedia sebagai seed_t_intervals.csv pada folder keluaran eksperimen 5; variasi yang tercakup juga meliputi perubahan partisi pada benchmark. Untuk perbandingan berpasangan A1−A0, digunakan </w:t>
      </w:r>
      <w:r>
        <w:rPr>
          <w:rFonts w:ascii="Times New Roman" w:hAnsi="Times New Roman" w:eastAsia="Times New Roman"/>
          <w:i/>
          <w:sz w:val="19"/>
        </w:rPr>
        <w:t>paired bootstrap</w:t>
      </w:r>
      <w:r>
        <w:rPr>
          <w:rFonts w:ascii="Times New Roman" w:hAnsi="Times New Roman" w:eastAsia="Times New Roman"/>
          <w:sz w:val="19"/>
        </w:rPr>
        <w:t xml:space="preserve"> pada unit registrable domain dengan 1.000 replikasi dan seed bootstrap 42; jumlah domain pada himpunan uji </w:t>
      </w:r>
      <w:r>
        <w:rPr>
          <w:rFonts w:ascii="Times New Roman" w:hAnsi="Times New Roman" w:eastAsia="Times New Roman"/>
          <w:i/>
          <w:sz w:val="19"/>
        </w:rPr>
        <w:t>site-disjoint</w:t>
      </w:r>
      <w:r>
        <w:rPr>
          <w:rFonts w:ascii="Times New Roman" w:hAnsi="Times New Roman" w:eastAsia="Times New Roman"/>
          <w:sz w:val="19"/>
        </w:rPr>
        <w:t xml:space="preserve"> adalah 35.100. Untuk evaluasi temporal, interval dihitung dengan </w:t>
      </w:r>
      <w:r>
        <w:rPr>
          <w:rFonts w:ascii="Times New Roman" w:hAnsi="Times New Roman" w:eastAsia="Times New Roman"/>
          <w:i/>
          <w:sz w:val="19"/>
        </w:rPr>
        <w:t>bootstrap</w:t>
      </w:r>
      <w:r>
        <w:rPr>
          <w:rFonts w:ascii="Times New Roman" w:hAnsi="Times New Roman" w:eastAsia="Times New Roman"/>
          <w:sz w:val="19"/>
        </w:rPr>
        <w:t xml:space="preserve"> pada unit registrable domain, 1.000 replikasi, dan seed RNG bootstrap 42, diterapkan pada prediksi model seed 13; angka 13 pada Tabel 6 menandai seed model, bukan seed RNG bootstrap.</w:t>
      </w:r>
      <w:r>
        <w:rPr>
          <w:rFonts w:ascii="Times New Roman" w:hAnsi="Times New Roman" w:eastAsia="Times New Roman"/>
          <w:sz w:val="19"/>
        </w:rPr>
        <w:t xml:space="preserve"> Kembali ke perbandingan A1−A0: titik estimasinya adalah nilai model seed 42, bukan rerata lima seed pada Tabel 4; seed 42 di sini berperan sebagai seed model, sedangkan seed 42 pada bootstrap berperan sebagai seed RNG resampling. Karena itu selisih pada Tabel 5 dan selisih rerata pada Tabel 4 memang berbeda dan tidak boleh dibandingkan langsung.</w:t>
      </w:r>
    </w:p>
    <w:p>
      <w:pPr>
        <w:spacing w:after="60"/>
        <w:ind w:firstLine="283"/>
        <w:jc w:val="both"/>
      </w:pPr>
      <w:r>
        <w:rPr>
          <w:rFonts w:ascii="Times New Roman" w:hAnsi="Times New Roman" w:eastAsia="Times New Roman"/>
          <w:sz w:val="19"/>
        </w:rPr>
        <w:t xml:space="preserve">Interval yang dilaporkan di sini menggambarkan ketidakpastian sampling domain pada satu model tetap dan satu kohort tertentu. Interval tersebut </w:t>
      </w:r>
      <w:r>
        <w:rPr>
          <w:rFonts w:ascii="Times New Roman" w:hAnsi="Times New Roman" w:eastAsia="Times New Roman"/>
          <w:b/>
          <w:sz w:val="19"/>
        </w:rPr>
        <w:t>bukan</w:t>
      </w:r>
      <w:r>
        <w:rPr>
          <w:rFonts w:ascii="Times New Roman" w:hAnsi="Times New Roman" w:eastAsia="Times New Roman"/>
          <w:sz w:val="19"/>
        </w:rPr>
        <w:t xml:space="preserve"> jaminan generalisasi temporal.</w:t>
      </w:r>
    </w:p>
    <w:p>
      <w:pPr>
        <w:spacing w:after="60"/>
        <w:ind w:firstLine="283"/>
        <w:jc w:val="both"/>
      </w:pPr>
      <w:r>
        <w:rPr>
          <w:rFonts w:ascii="Times New Roman" w:hAnsi="Times New Roman" w:eastAsia="Times New Roman"/>
          <w:sz w:val="19"/>
        </w:rPr>
        <w:t>Proyeksi prevalensi dihitung secara aritmetika dari TPR dan FPR terukur menggunakan bentuk standar nilai prediksi positif, PPV = π·TPR / (π·TPR + (1−π)·FPR), untuk nilai prevalensi π yang diasumsikan. Proyeksi ini adalah skenario, bukan perilaku deployment yang diamati.</w:t>
      </w:r>
      <w:r>
        <w:rPr>
          <w:rFonts w:ascii="Times New Roman" w:hAnsi="Times New Roman" w:eastAsia="Times New Roman"/>
          <w:sz w:val="19"/>
        </w:rPr>
        <w:t xml:space="preserve"> Bentuk proyeksi ini merupakan penerapan langsung argumen base-rate pada sistem deteksi [21], dan untuk data yang tidak seimbang analisis precision-recall lebih informatif daripada ROC [22].</w:t>
      </w:r>
    </w:p>
    <w:p>
      <w:pPr>
        <w:pStyle w:val="Heading2"/>
        <w:ind w:firstLine="0"/>
        <w:jc w:val="left"/>
      </w:pPr>
      <w:r>
        <w:rPr>
          <w:rFonts w:ascii="Times New Roman" w:hAnsi="Times New Roman" w:eastAsia="Times New Roman"/>
          <w:sz w:val="20"/>
        </w:rPr>
        <w:t xml:space="preserve">2.7 Transfer Lintas-Korpus </w:t>
      </w:r>
      <w:r>
        <w:rPr>
          <w:rFonts w:ascii="Times New Roman" w:hAnsi="Times New Roman" w:eastAsia="Times New Roman"/>
          <w:i/>
          <w:sz w:val="20"/>
        </w:rPr>
        <w:t>Zero-Shot</w:t>
      </w:r>
    </w:p>
    <w:p>
      <w:pPr>
        <w:spacing w:after="60"/>
        <w:ind w:firstLine="283"/>
        <w:jc w:val="both"/>
      </w:pPr>
      <w:r>
        <w:rPr>
          <w:rFonts w:ascii="Times New Roman" w:hAnsi="Times New Roman" w:eastAsia="Times New Roman"/>
          <w:sz w:val="19"/>
        </w:rPr>
        <w:t>Eksperimen ini menguji RQ4 dengan kontrak A2 yang sama—ekstraktor URL bersama dan skema terurut 18 kolom—pada sumber dan target. Kesamaan kontrak tidak membuktikan kesamaan nilai A2 dengan nilai sumber terhitung sebelumnya yang bernama serupa. Pipeline saat ini memetakan phishing sebagai kelas 1 dan menggunakan probabilitas kelas tersebut; hal ini tidak memvalidasi polaritas metrik E3 lama. Ekstraksi 18 fitur, urutan kolom, parameter model, dan label positif phishing=1 diambil dari artefak tersimpan; manifest keluaran eksperimen transfer dicocokkan untuk urutan fitur dan ambang 0,5. Model LightGBM dan XGBoost dilatih hanya pada fold pelatihan pembagian acak PhiUSIIL seed 42 dan dievaluasi pada fold uji sumber sebagai referensi dalam-domain. Tiga istilah dipakai konsisten di seluruh naskah: dalam-korpus berarti evaluasi temporal latih-lalu-uji di dalam PhreshPhish; dalam-sumber berarti evaluasi pada blok uji korpus sumber di dalam eksperimen transfer; dan dalam-domain berarti evaluasi referensi pada PhiUSIIL. Model yang sama kemudian diterapkan pada 168.035 baris kohort uji temporal PhreshPhish tanpa fitting, kalibrasi, normalisasi, pemilihan fitur, atau penyetelan ambang menggunakan data target. Ambang tetap 0,5.</w:t>
      </w:r>
    </w:p>
    <w:p>
      <w:pPr>
        <w:spacing w:after="60"/>
        <w:ind w:firstLine="283"/>
        <w:jc w:val="both"/>
      </w:pPr>
      <w:r>
        <w:rPr>
          <w:rFonts w:ascii="Times New Roman" w:hAnsi="Times New Roman" w:eastAsia="Times New Roman"/>
          <w:sz w:val="19"/>
        </w:rPr>
        <w:t>Lima seed model (13, 42, 777, 2024, 31415) mengukur variasi prosedur pelatihan; seluruhnya menggunakan partisi sumber dan target yang sama. Seed 42 ditetapkan sebagai hasil utama. Ketidakpastian target dihitung dengan 1.000 replikasi bootstrap pada unit registrable domain dengan seed RNG bootstrap 42, mencakup 65.288 registrable domain. Karena waktu, vendor, dan populasi berbeda bersama korpus, eksperimen ini menguji portabilitas pada pasangan korpus tersebut, bukan mengidentifikasi faktor penyebab kegagalan transfer.</w:t>
      </w:r>
    </w:p>
    <w:p>
      <w:pPr>
        <w:pStyle w:val="Heading2"/>
        <w:ind w:firstLine="0"/>
        <w:jc w:val="left"/>
      </w:pPr>
      <w:r>
        <w:rPr>
          <w:rFonts w:ascii="Times New Roman" w:hAnsi="Times New Roman" w:eastAsia="Times New Roman"/>
          <w:sz w:val="20"/>
        </w:rPr>
        <w:t>2.8 Pemilihan Ambang Berbasis Validasi</w:t>
      </w:r>
    </w:p>
    <w:p>
      <w:pPr>
        <w:spacing w:after="60"/>
        <w:ind w:firstLine="283"/>
        <w:jc w:val="both"/>
      </w:pPr>
      <w:r>
        <w:rPr>
          <w:rFonts w:ascii="Times New Roman" w:hAnsi="Times New Roman" w:eastAsia="Times New Roman"/>
          <w:sz w:val="19"/>
        </w:rPr>
        <w:t xml:space="preserve">Eksperimen RQ5 menggunakan LightGBM/A2 pada PhreshPhish dengan tiga blok waktu yang tidak tumpang tindih: fit 2 Juli 2024–30 Juni 2025 (372.213 baris), validasi 1 Juli–7 September 2025 (125.146 baris), dan uji 8 September–16 Desember 2025 (168.035 baris). Deduplikasi dan pembersihan dilakukan sebelum pembentukan blok; hash URL antarblok tidak tumpang tindih. Kohort uji sama persis dengan evaluasi temporal utama dan diverifikasi melalui </w:t>
      </w:r>
      <w:r>
        <w:rPr>
          <w:rFonts w:ascii="Consolas" w:hAnsi="Consolas" w:eastAsia="Consolas"/>
          <w:sz w:val="18"/>
        </w:rPr>
        <w:t>row_id</w:t>
      </w:r>
      <w:r>
        <w:rPr>
          <w:rFonts w:ascii="Times New Roman" w:hAnsi="Times New Roman" w:eastAsia="Times New Roman"/>
          <w:sz w:val="19"/>
        </w:rPr>
        <w:t>, label, serta hash URL; kohort ini telah diperiksa dalam pekerjaan eksploratif sebelumnya dan bukan holdout buta atau prospektif.</w:t>
      </w:r>
      <w:r>
        <w:rPr>
          <w:rFonts w:ascii="Times New Roman" w:hAnsi="Times New Roman" w:eastAsia="Times New Roman"/>
          <w:sz w:val="19"/>
        </w:rPr>
        <w:t xml:space="preserve"> Model pada eksperimen ini dilatih ulang hanya pada blok fit, sedangkan evaluasi temporal pada Subbagian 3.5 memakai model yang dilatih pada seluruh blok pra-cutoff, yaitu periode fit dan validasi (497.359 baris). Baris uji identik, tetapi modelnya berbeda, sehingga metrik pada ambang 0,5 pada Tabel 8 tidak identik dengan Tabel 6 dan kedua tabel itu tidak boleh dibaca sebagai satu kecocokan yang sama.</w:t>
      </w:r>
    </w:p>
    <w:p>
      <w:pPr>
        <w:spacing w:after="60"/>
        <w:ind w:firstLine="283"/>
        <w:jc w:val="both"/>
      </w:pPr>
      <w:r>
        <w:rPr>
          <w:rFonts w:ascii="Times New Roman" w:hAnsi="Times New Roman" w:eastAsia="Times New Roman"/>
          <w:sz w:val="19"/>
        </w:rPr>
        <w:t>Empat aturan dibandingkan: ambang bawaan 0,5; ambang terkecil yang mencapai FPR benign validasi ≤1%; ambang terkecil yang mencapai FPR validasi ≤0,5%; dan ambang yang memaksimalkan F1 validasi dengan tie-break menuju ambang lebih kecil. Aturan dipilih terpisah pada lima seed, dibekukan, lalu diterapkan sekali pada uji. Tidak ada label atau skor uji yang digunakan dalam pemilihan. Proyeksi PPV pada prevalensi 1% dan 5% menggunakan TPR dan FPR uji sebagai asumsi transfer, bukan pengukuran pada prevalensi tersebut.</w:t>
      </w:r>
    </w:p>
    <w:p>
      <w:pPr>
        <w:pStyle w:val="Heading2"/>
        <w:ind w:firstLine="0"/>
        <w:jc w:val="left"/>
      </w:pPr>
      <w:r>
        <w:rPr>
          <w:rFonts w:ascii="Times New Roman" w:hAnsi="Times New Roman" w:eastAsia="Times New Roman"/>
          <w:sz w:val="20"/>
        </w:rPr>
        <w:t>2.9 Taksonomi Galat Empiris</w:t>
      </w:r>
    </w:p>
    <w:p>
      <w:pPr>
        <w:spacing w:after="60"/>
        <w:ind w:firstLine="283"/>
        <w:jc w:val="both"/>
      </w:pPr>
      <w:r>
        <w:rPr>
          <w:rFonts w:ascii="Times New Roman" w:hAnsi="Times New Roman" w:eastAsia="Times New Roman"/>
          <w:sz w:val="19"/>
        </w:rPr>
        <w:t>Taksonomi galat menggunakan prediksi tersimpan LightGBM seed 13 dari evaluasi temporal utama pada ambang 0,5. Tidak ada model baru dan tidak ada penyetelan berbasis galat. Kategori ditentukan secara deterministik dari URL: panjang, rasio digit, kedalaman subdomain perkiraan, skema HTTPS, query, IP/punycode, daftar pendek pemendek URL dan platform hosting, token leksikal, bulan, bahasa, serta status domain terlihat/tidak terlihat. Setiap kategori melaporkan dukungan, FP/FN, laju bersyarat pada kelas, dan interval Wilson 95%; kategori dengan n&lt;30 ditandai dukungan rendah. Temuan ini bersifat eksploratif dan deskriptif karena kategori saling tumpang tindih serta berkorelasi dengan prevalensi, bulan, dan panjang URL.</w:t>
      </w:r>
      <w:r>
        <w:rPr>
          <w:rFonts w:ascii="Times New Roman" w:hAnsi="Times New Roman" w:eastAsia="Times New Roman"/>
          <w:sz w:val="19"/>
        </w:rPr>
        <w:t xml:space="preserve"> Nilai interval Wilson per kategori dihitung dari penyebut di dalam kategori dan tersimpan pada berkas taksonomi galat (kolom batas bawah dan batas atas); Tabel 9 menampilkan proporsi titik saja.</w:t>
      </w:r>
    </w:p>
    <w:p>
      <w:pPr>
        <w:pStyle w:val="Heading1"/>
        <w:ind w:firstLine="0"/>
        <w:jc w:val="center"/>
      </w:pPr>
      <w:r>
        <w:rPr>
          <w:rFonts w:ascii="Times New Roman" w:hAnsi="Times New Roman" w:eastAsia="Times New Roman"/>
          <w:sz w:val="21"/>
        </w:rPr>
        <w:t>3. HASIL DAN PEMBAHASAN</w:t>
      </w:r>
    </w:p>
    <w:p>
      <w:pPr>
        <w:pStyle w:val="Heading2"/>
        <w:ind w:firstLine="0"/>
        <w:jc w:val="left"/>
      </w:pPr>
      <w:r>
        <w:rPr>
          <w:rFonts w:ascii="Times New Roman" w:hAnsi="Times New Roman" w:eastAsia="Times New Roman"/>
          <w:sz w:val="20"/>
        </w:rPr>
        <w:t>3.1 Audit Keterpulihan Label dan Repetisi Domain pada PhiUSIIL</w:t>
      </w:r>
    </w:p>
    <w:p>
      <w:pPr>
        <w:spacing w:after="60"/>
        <w:ind w:firstLine="283"/>
        <w:jc w:val="both"/>
      </w:pPr>
      <w:r>
        <w:rPr>
          <w:rFonts w:ascii="Times New Roman" w:hAnsi="Times New Roman" w:eastAsia="Times New Roman"/>
          <w:sz w:val="19"/>
        </w:rPr>
        <w:t xml:space="preserve">Audit menemukan tiga kolom dengan AUC tunggal mendekati plafon. </w:t>
      </w:r>
      <w:r>
        <w:rPr>
          <w:rFonts w:ascii="Consolas" w:hAnsi="Consolas" w:eastAsia="Consolas"/>
          <w:sz w:val="18"/>
        </w:rPr>
        <w:t>URLSimilarityIndex</w:t>
      </w:r>
      <w:r>
        <w:rPr>
          <w:rFonts w:ascii="Times New Roman" w:hAnsi="Times New Roman" w:eastAsia="Times New Roman"/>
          <w:sz w:val="19"/>
        </w:rPr>
        <w:t xml:space="preserve"> mencapai AUC 0,9961 terhadap label, </w:t>
      </w:r>
      <w:r>
        <w:rPr>
          <w:rFonts w:ascii="Consolas" w:hAnsi="Consolas" w:eastAsia="Consolas"/>
          <w:sz w:val="18"/>
        </w:rPr>
        <w:t>LineOfCode</w:t>
      </w:r>
      <w:r>
        <w:rPr>
          <w:rFonts w:ascii="Times New Roman" w:hAnsi="Times New Roman" w:eastAsia="Times New Roman"/>
          <w:sz w:val="19"/>
        </w:rPr>
        <w:t xml:space="preserve"> 0,9903, dan </w:t>
      </w:r>
      <w:r>
        <w:rPr>
          <w:rFonts w:ascii="Consolas" w:hAnsi="Consolas" w:eastAsia="Consolas"/>
          <w:sz w:val="18"/>
        </w:rPr>
        <w:t>NoOfExternalRef</w:t>
      </w:r>
      <w:r>
        <w:rPr>
          <w:rFonts w:ascii="Times New Roman" w:hAnsi="Times New Roman" w:eastAsia="Times New Roman"/>
          <w:sz w:val="19"/>
        </w:rPr>
        <w:t xml:space="preserve"> 0,9880. Ketiganya mampu mengurutkan kelas hampir sempurna tanpa bantuan model apa pun. Kolom keempat dan kelima, </w:t>
      </w:r>
      <w:r>
        <w:rPr>
          <w:rFonts w:ascii="Consolas" w:hAnsi="Consolas" w:eastAsia="Consolas"/>
          <w:sz w:val="18"/>
        </w:rPr>
        <w:t>DomainTitleMatchScore</w:t>
      </w:r>
      <w:r>
        <w:rPr>
          <w:rFonts w:ascii="Times New Roman" w:hAnsi="Times New Roman" w:eastAsia="Times New Roman"/>
          <w:sz w:val="19"/>
        </w:rPr>
        <w:t xml:space="preserve"> (0,7923) dan </w:t>
      </w:r>
      <w:r>
        <w:rPr>
          <w:rFonts w:ascii="Consolas" w:hAnsi="Consolas" w:eastAsia="Consolas"/>
          <w:sz w:val="18"/>
        </w:rPr>
        <w:t>URLTitleMatchScore</w:t>
      </w:r>
      <w:r>
        <w:rPr>
          <w:rFonts w:ascii="Times New Roman" w:hAnsi="Times New Roman" w:eastAsia="Times New Roman"/>
          <w:sz w:val="19"/>
        </w:rPr>
        <w:t xml:space="preserve"> (0,7707), masih membawa sinyal kuat tetapi tidak berada pada tingkat plafon; keduanya dibuang berdasarkan keputusan desain yang konservatif. Kolom </w:t>
      </w:r>
      <w:r>
        <w:rPr>
          <w:rFonts w:ascii="Consolas" w:hAnsi="Consolas" w:eastAsia="Consolas"/>
          <w:sz w:val="18"/>
        </w:rPr>
        <w:t>NoOfSelfRedirect</w:t>
      </w:r>
      <w:r>
        <w:rPr>
          <w:rFonts w:ascii="Times New Roman" w:hAnsi="Times New Roman" w:eastAsia="Times New Roman"/>
          <w:sz w:val="19"/>
        </w:rPr>
        <w:t xml:space="preserve"> (0,5152) dan </w:t>
      </w:r>
      <w:r>
        <w:rPr>
          <w:rFonts w:ascii="Consolas" w:hAnsi="Consolas" w:eastAsia="Consolas"/>
          <w:sz w:val="18"/>
        </w:rPr>
        <w:t>IsDomainIP</w:t>
      </w:r>
      <w:r>
        <w:rPr>
          <w:rFonts w:ascii="Times New Roman" w:hAnsi="Times New Roman" w:eastAsia="Times New Roman"/>
          <w:sz w:val="19"/>
        </w:rPr>
        <w:t xml:space="preserve"> (0,5032) hampir tidak membawa sinyal tunggal dan dipertahankan.</w:t>
      </w:r>
    </w:p>
    <w:p>
      <w:pPr>
        <w:spacing w:after="60"/>
        <w:ind w:firstLine="283"/>
        <w:jc w:val="both"/>
      </w:pPr>
      <w:r>
        <w:rPr>
          <w:rFonts w:ascii="Times New Roman" w:hAnsi="Times New Roman" w:eastAsia="Times New Roman"/>
          <w:sz w:val="19"/>
        </w:rPr>
        <w:t xml:space="preserve">Implementasi menghapus </w:t>
      </w:r>
      <w:r>
        <w:rPr>
          <w:rFonts w:ascii="Consolas" w:hAnsi="Consolas" w:eastAsia="Consolas"/>
          <w:sz w:val="18"/>
        </w:rPr>
        <w:t>URLSimilarityIndex</w:t>
      </w:r>
      <w:r>
        <w:rPr>
          <w:rFonts w:ascii="Times New Roman" w:hAnsi="Times New Roman" w:eastAsia="Times New Roman"/>
          <w:sz w:val="19"/>
        </w:rPr>
        <w:t xml:space="preserve"> tetapi mempertahankan </w:t>
      </w:r>
      <w:r>
        <w:rPr>
          <w:rFonts w:ascii="Consolas" w:hAnsi="Consolas" w:eastAsia="Consolas"/>
          <w:sz w:val="18"/>
        </w:rPr>
        <w:t>LineOfCode</w:t>
      </w:r>
      <w:r>
        <w:rPr>
          <w:rFonts w:ascii="Times New Roman" w:hAnsi="Times New Roman" w:eastAsia="Times New Roman"/>
          <w:sz w:val="19"/>
        </w:rPr>
        <w:t xml:space="preserve"> dan </w:t>
      </w:r>
      <w:r>
        <w:rPr>
          <w:rFonts w:ascii="Consolas" w:hAnsi="Consolas" w:eastAsia="Consolas"/>
          <w:sz w:val="18"/>
        </w:rPr>
        <w:t>NoOfExternalRef</w:t>
      </w:r>
      <w:r>
        <w:rPr>
          <w:rFonts w:ascii="Times New Roman" w:hAnsi="Times New Roman" w:eastAsia="Times New Roman"/>
          <w:sz w:val="19"/>
        </w:rPr>
        <w:t xml:space="preserve"> dalam A0. Dengan demikian, konfigurasi acuan 47 fitur memuat dua kolom dengan AUC tunggal sekitar 0,988 atau lebih, yang menunjukkan separabilitas tinggi pada korpus berlabel. Hal ini tidak menunjukkan bahwa salah satu kolom diturunkan dari label atau menyebabkan hasil model yang mendekati plafon. Nilai F1 0,9996–0,9998 adalah hasil benchmark yang teramati; bukti yang tersedia tidak memisahkan kontribusi pemodelan, nilai fitur tersimpan, label sumber, maupun proses pengumpulan data.</w:t>
      </w:r>
    </w:p>
    <w:p>
      <w:pPr>
        <w:spacing w:after="60"/>
        <w:ind w:firstLine="283"/>
        <w:jc w:val="both"/>
      </w:pPr>
      <w:r>
        <w:rPr>
          <w:rFonts w:ascii="Times New Roman" w:hAnsi="Times New Roman" w:eastAsia="Times New Roman"/>
          <w:sz w:val="19"/>
        </w:rPr>
        <w:t>Audit domain menemukan 175.509 registrable domain unik dan 636 baris alamat IP. Nilai registrable domain berulang terdapat pada 62,0 % baris phishing dan 2,6 % baris legitim. Ini adalah asimetri distribusi yang teramati; hal tersebut tidak menunjukkan bahwa label diturunkan dari identitas domain atau bahwa penyewa yang berbagi kunci platform berasal dari kampanye atau operator yang sama. Provenance fitur sumber dan label yang diperlukan untuk menetapkan hubungan tersebut tidak tersedia.</w:t>
      </w:r>
    </w:p>
    <w:p>
      <w:pPr>
        <w:spacing w:after="60"/>
        <w:ind w:firstLine="283"/>
        <w:jc w:val="both"/>
      </w:pPr>
      <w:r>
        <w:rPr>
          <w:rFonts w:ascii="Times New Roman" w:hAnsi="Times New Roman" w:eastAsia="Times New Roman"/>
          <w:sz w:val="19"/>
        </w:rPr>
        <w:t>Pada pembagian acak dengan seed 42, 26,63 % baris uji berbagi registrable domain dengan baris latih; proporsinya 59,17 % pada baris uji phishing dan 2,37 % pada baris uji legitim. Ini merupakan pola tumpang tindih yang teramati, bukan bukti pengenalan oleh model, kebocoran, bias optimistis, atau inflasi kinerja. Analisis ini tidak mengisolasi kontribusi kausal paparan domain dari fitur ber-AUC tinggi yang tetap tersedia di A0. Producer hulu dan ketergantungan label fitur A0/A1 tersimpan masih belum diketahui.</w:t>
      </w:r>
    </w:p>
    <w:p>
      <w:pPr>
        <w:pStyle w:val="Heading2"/>
        <w:ind w:firstLine="0"/>
        <w:jc w:val="left"/>
      </w:pPr>
      <w:r>
        <w:rPr>
          <w:rFonts w:ascii="Times New Roman" w:hAnsi="Times New Roman" w:eastAsia="Times New Roman"/>
          <w:sz w:val="20"/>
        </w:rPr>
        <w:t>3.2 Perbandingan Protokol Pembagian Data</w:t>
      </w:r>
    </w:p>
    <w:p>
      <w:pPr>
        <w:spacing w:after="60"/>
        <w:ind w:firstLine="283"/>
        <w:jc w:val="both"/>
      </w:pPr>
      <w:r>
        <w:rPr>
          <w:rFonts w:ascii="Times New Roman" w:hAnsi="Times New Roman" w:eastAsia="Times New Roman"/>
          <w:sz w:val="19"/>
        </w:rPr>
        <w:t>Tabel 3 merangkum F1 kelas phishing untuk kedua protokol pada konfigurasi A0, dirata-ratakan atas lima seed, dengan model LightGBM dan XGBoost.</w:t>
      </w:r>
    </w:p>
    <w:p>
      <w:pPr>
        <w:keepNext/>
        <w:spacing w:after="60"/>
        <w:ind w:firstLine="0"/>
        <w:jc w:val="center"/>
      </w:pPr>
      <w:r>
        <w:rPr>
          <w:rFonts w:ascii="Times New Roman" w:hAnsi="Times New Roman" w:eastAsia="Times New Roman"/>
          <w:b/>
          <w:sz w:val="17"/>
        </w:rPr>
        <w:t>Tabel 3.</w:t>
      </w:r>
      <w:r>
        <w:rPr>
          <w:rFonts w:ascii="Times New Roman" w:hAnsi="Times New Roman" w:eastAsia="Times New Roman"/>
          <w:sz w:val="17"/>
        </w:rPr>
        <w:t xml:space="preserve"> F1 kelas phishing pada PhiUSIIL, konfigurasi A0 (47 fitur), rerata lima seed.</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vAlign w:val="center"/>
          </w:tcPr>
          <w:p>
            <w:pPr>
              <w:spacing w:after="0"/>
              <w:ind w:firstLine="0"/>
              <w:jc w:val="center"/>
            </w:pPr>
            <w:r>
              <w:rPr>
                <w:rFonts w:ascii="Times New Roman" w:hAnsi="Times New Roman" w:eastAsia="Times New Roman"/>
                <w:b/>
                <w:sz w:val="14"/>
              </w:rPr>
              <w:t>Model</w:t>
            </w:r>
          </w:p>
        </w:tc>
        <w:tc>
          <w:tcPr>
            <w:tcW w:type="dxa" w:w="1336"/>
            <w:vAlign w:val="center"/>
          </w:tcPr>
          <w:p>
            <w:pPr>
              <w:spacing w:after="0"/>
              <w:ind w:firstLine="0"/>
              <w:jc w:val="center"/>
            </w:pPr>
            <w:r>
              <w:rPr>
                <w:rFonts w:ascii="Times New Roman" w:hAnsi="Times New Roman" w:eastAsia="Times New Roman"/>
                <w:b/>
                <w:sz w:val="14"/>
              </w:rPr>
              <w:t>Protokol</w:t>
            </w:r>
          </w:p>
        </w:tc>
        <w:tc>
          <w:tcPr>
            <w:tcW w:type="dxa" w:w="1336"/>
            <w:vAlign w:val="center"/>
          </w:tcPr>
          <w:p>
            <w:pPr>
              <w:spacing w:after="0"/>
              <w:ind w:firstLine="0"/>
              <w:jc w:val="center"/>
            </w:pPr>
            <w:r>
              <w:rPr>
                <w:rFonts w:ascii="Times New Roman" w:hAnsi="Times New Roman" w:eastAsia="Times New Roman"/>
                <w:b/>
                <w:sz w:val="14"/>
              </w:rPr>
              <w:t>F1 phish</w:t>
            </w:r>
          </w:p>
        </w:tc>
        <w:tc>
          <w:tcPr>
            <w:tcW w:type="dxa" w:w="1336"/>
            <w:vAlign w:val="center"/>
          </w:tcPr>
          <w:p>
            <w:pPr>
              <w:spacing w:after="0"/>
              <w:ind w:firstLine="0"/>
              <w:jc w:val="center"/>
            </w:pPr>
            <w:r>
              <w:rPr>
                <w:rFonts w:ascii="Times New Roman" w:hAnsi="Times New Roman" w:eastAsia="Times New Roman"/>
                <w:b/>
                <w:sz w:val="14"/>
              </w:rPr>
              <w:t>Recall</w:t>
            </w:r>
          </w:p>
        </w:tc>
        <w:tc>
          <w:tcPr>
            <w:tcW w:type="dxa" w:w="1336"/>
            <w:vAlign w:val="center"/>
          </w:tcPr>
          <w:p>
            <w:pPr>
              <w:spacing w:after="0"/>
              <w:ind w:firstLine="0"/>
              <w:jc w:val="center"/>
            </w:pPr>
            <w:r>
              <w:rPr>
                <w:rFonts w:ascii="Times New Roman" w:hAnsi="Times New Roman" w:eastAsia="Times New Roman"/>
                <w:b/>
                <w:sz w:val="14"/>
              </w:rPr>
              <w:t>Precision</w:t>
            </w:r>
          </w:p>
        </w:tc>
        <w:tc>
          <w:tcPr>
            <w:tcW w:type="dxa" w:w="1336"/>
            <w:vAlign w:val="center"/>
          </w:tcPr>
          <w:p>
            <w:pPr>
              <w:spacing w:after="0"/>
              <w:ind w:firstLine="0"/>
              <w:jc w:val="center"/>
            </w:pPr>
            <w:r>
              <w:rPr>
                <w:rFonts w:ascii="Times New Roman" w:hAnsi="Times New Roman" w:eastAsia="Times New Roman"/>
                <w:b/>
                <w:sz w:val="14"/>
              </w:rPr>
              <w:t>FPR benign</w:t>
            </w:r>
          </w:p>
        </w:tc>
        <w:tc>
          <w:tcPr>
            <w:tcW w:type="dxa" w:w="1336"/>
            <w:vAlign w:val="center"/>
          </w:tcPr>
          <w:p>
            <w:pPr>
              <w:spacing w:after="0"/>
              <w:ind w:firstLine="0"/>
              <w:jc w:val="center"/>
            </w:pPr>
            <w:r>
              <w:rPr>
                <w:rFonts w:ascii="Times New Roman" w:hAnsi="Times New Roman" w:eastAsia="Times New Roman"/>
                <w:b/>
                <w:sz w:val="14"/>
              </w:rPr>
              <w:t>MCC</w:t>
            </w:r>
          </w:p>
        </w:tc>
      </w:tr>
      <w:tr>
        <w:trPr>
          <w:cantSplit/>
        </w:trPr>
        <w:tc>
          <w:tcPr>
            <w:tcW w:type="dxa" w:w="1336"/>
            <w:vAlign w:val="center"/>
          </w:tcPr>
          <w:p>
            <w:pPr>
              <w:spacing w:after="0"/>
              <w:ind w:firstLine="0"/>
              <w:jc w:val="left"/>
            </w:pPr>
            <w:r>
              <w:rPr>
                <w:rFonts w:ascii="Times New Roman" w:hAnsi="Times New Roman" w:eastAsia="Times New Roman"/>
                <w:sz w:val="14"/>
              </w:rPr>
              <w:t>LightGBM</w:t>
            </w:r>
          </w:p>
        </w:tc>
        <w:tc>
          <w:tcPr>
            <w:tcW w:type="dxa" w:w="1336"/>
            <w:vAlign w:val="center"/>
          </w:tcPr>
          <w:p>
            <w:pPr>
              <w:spacing w:after="0"/>
              <w:ind w:firstLine="0"/>
              <w:jc w:val="center"/>
            </w:pPr>
            <w:r>
              <w:rPr>
                <w:rFonts w:ascii="Times New Roman" w:hAnsi="Times New Roman" w:eastAsia="Times New Roman"/>
                <w:sz w:val="14"/>
              </w:rPr>
              <w:t>Acak</w:t>
            </w:r>
          </w:p>
        </w:tc>
        <w:tc>
          <w:tcPr>
            <w:tcW w:type="dxa" w:w="1336"/>
            <w:vAlign w:val="center"/>
          </w:tcPr>
          <w:p>
            <w:pPr>
              <w:spacing w:after="0"/>
              <w:ind w:firstLine="0"/>
              <w:jc w:val="center"/>
            </w:pPr>
            <w:r>
              <w:rPr>
                <w:rFonts w:ascii="Times New Roman" w:hAnsi="Times New Roman" w:eastAsia="Times New Roman"/>
                <w:sz w:val="14"/>
              </w:rPr>
              <w:t>0,999826</w:t>
            </w:r>
          </w:p>
        </w:tc>
        <w:tc>
          <w:tcPr>
            <w:tcW w:type="dxa" w:w="1336"/>
            <w:vAlign w:val="center"/>
          </w:tcPr>
          <w:p>
            <w:pPr>
              <w:spacing w:after="0"/>
              <w:ind w:firstLine="0"/>
              <w:jc w:val="center"/>
            </w:pPr>
            <w:r>
              <w:rPr>
                <w:rFonts w:ascii="Times New Roman" w:hAnsi="Times New Roman" w:eastAsia="Times New Roman"/>
                <w:sz w:val="14"/>
              </w:rPr>
              <w:t>0,999771</w:t>
            </w:r>
          </w:p>
        </w:tc>
        <w:tc>
          <w:tcPr>
            <w:tcW w:type="dxa" w:w="1336"/>
            <w:vAlign w:val="center"/>
          </w:tcPr>
          <w:p>
            <w:pPr>
              <w:spacing w:after="0"/>
              <w:ind w:firstLine="0"/>
              <w:jc w:val="center"/>
            </w:pPr>
            <w:r>
              <w:rPr>
                <w:rFonts w:ascii="Times New Roman" w:hAnsi="Times New Roman" w:eastAsia="Times New Roman"/>
                <w:sz w:val="14"/>
              </w:rPr>
              <w:t>0,999881</w:t>
            </w:r>
          </w:p>
        </w:tc>
        <w:tc>
          <w:tcPr>
            <w:tcW w:type="dxa" w:w="1336"/>
            <w:vAlign w:val="center"/>
          </w:tcPr>
          <w:p>
            <w:pPr>
              <w:spacing w:after="0"/>
              <w:ind w:firstLine="0"/>
              <w:jc w:val="center"/>
            </w:pPr>
            <w:r>
              <w:rPr>
                <w:rFonts w:ascii="Times New Roman" w:hAnsi="Times New Roman" w:eastAsia="Times New Roman"/>
                <w:sz w:val="14"/>
              </w:rPr>
              <w:t>0,000089</w:t>
            </w:r>
          </w:p>
        </w:tc>
        <w:tc>
          <w:tcPr>
            <w:tcW w:type="dxa" w:w="1336"/>
            <w:vAlign w:val="center"/>
          </w:tcPr>
          <w:p>
            <w:pPr>
              <w:spacing w:after="0"/>
              <w:ind w:firstLine="0"/>
              <w:jc w:val="center"/>
            </w:pPr>
            <w:r>
              <w:rPr>
                <w:rFonts w:ascii="Times New Roman" w:hAnsi="Times New Roman" w:eastAsia="Times New Roman"/>
                <w:sz w:val="14"/>
              </w:rPr>
              <w:t>0,999696</w:t>
            </w:r>
          </w:p>
        </w:tc>
      </w:tr>
      <w:tr>
        <w:trPr>
          <w:cantSplit/>
        </w:trPr>
        <w:tc>
          <w:tcPr>
            <w:tcW w:type="dxa" w:w="1336"/>
            <w:vAlign w:val="center"/>
          </w:tcPr>
          <w:p>
            <w:pPr>
              <w:spacing w:after="0"/>
              <w:ind w:firstLine="0"/>
              <w:jc w:val="left"/>
            </w:pPr>
            <w:r>
              <w:rPr>
                <w:rFonts w:ascii="Times New Roman" w:hAnsi="Times New Roman" w:eastAsia="Times New Roman"/>
                <w:sz w:val="14"/>
              </w:rPr>
              <w:t>LightGBM</w:t>
            </w:r>
          </w:p>
        </w:tc>
        <w:tc>
          <w:tcPr>
            <w:tcW w:type="dxa" w:w="1336"/>
            <w:vAlign w:val="center"/>
          </w:tcPr>
          <w:p>
            <w:pPr>
              <w:spacing w:after="0"/>
              <w:ind w:firstLine="0"/>
              <w:jc w:val="center"/>
            </w:pPr>
            <w:r>
              <w:rPr>
                <w:rFonts w:ascii="Times New Roman" w:hAnsi="Times New Roman" w:eastAsia="Times New Roman"/>
                <w:sz w:val="14"/>
              </w:rPr>
              <w:t>Site-disjoint</w:t>
            </w:r>
          </w:p>
        </w:tc>
        <w:tc>
          <w:tcPr>
            <w:tcW w:type="dxa" w:w="1336"/>
            <w:vAlign w:val="center"/>
          </w:tcPr>
          <w:p>
            <w:pPr>
              <w:spacing w:after="0"/>
              <w:ind w:firstLine="0"/>
              <w:jc w:val="center"/>
            </w:pPr>
            <w:r>
              <w:rPr>
                <w:rFonts w:ascii="Times New Roman" w:hAnsi="Times New Roman" w:eastAsia="Times New Roman"/>
                <w:sz w:val="14"/>
              </w:rPr>
              <w:t>0,999623</w:t>
            </w:r>
          </w:p>
        </w:tc>
        <w:tc>
          <w:tcPr>
            <w:tcW w:type="dxa" w:w="1336"/>
            <w:vAlign w:val="center"/>
          </w:tcPr>
          <w:p>
            <w:pPr>
              <w:spacing w:after="0"/>
              <w:ind w:firstLine="0"/>
              <w:jc w:val="center"/>
            </w:pPr>
            <w:r>
              <w:rPr>
                <w:rFonts w:ascii="Times New Roman" w:hAnsi="Times New Roman" w:eastAsia="Times New Roman"/>
                <w:sz w:val="14"/>
              </w:rPr>
              <w:t>0,999422</w:t>
            </w:r>
          </w:p>
        </w:tc>
        <w:tc>
          <w:tcPr>
            <w:tcW w:type="dxa" w:w="1336"/>
            <w:vAlign w:val="center"/>
          </w:tcPr>
          <w:p>
            <w:pPr>
              <w:spacing w:after="0"/>
              <w:ind w:firstLine="0"/>
              <w:jc w:val="center"/>
            </w:pPr>
            <w:r>
              <w:rPr>
                <w:rFonts w:ascii="Times New Roman" w:hAnsi="Times New Roman" w:eastAsia="Times New Roman"/>
                <w:sz w:val="14"/>
              </w:rPr>
              <w:t>0,999823</w:t>
            </w:r>
          </w:p>
        </w:tc>
        <w:tc>
          <w:tcPr>
            <w:tcW w:type="dxa" w:w="1336"/>
            <w:vAlign w:val="center"/>
          </w:tcPr>
          <w:p>
            <w:pPr>
              <w:spacing w:after="0"/>
              <w:ind w:firstLine="0"/>
              <w:jc w:val="center"/>
            </w:pPr>
            <w:r>
              <w:rPr>
                <w:rFonts w:ascii="Times New Roman" w:hAnsi="Times New Roman" w:eastAsia="Times New Roman"/>
                <w:sz w:val="14"/>
              </w:rPr>
              <w:t>0,000111</w:t>
            </w:r>
          </w:p>
        </w:tc>
        <w:tc>
          <w:tcPr>
            <w:tcW w:type="dxa" w:w="1336"/>
            <w:vAlign w:val="center"/>
          </w:tcPr>
          <w:p>
            <w:pPr>
              <w:spacing w:after="0"/>
              <w:ind w:firstLine="0"/>
              <w:jc w:val="center"/>
            </w:pPr>
            <w:r>
              <w:rPr>
                <w:rFonts w:ascii="Times New Roman" w:hAnsi="Times New Roman" w:eastAsia="Times New Roman"/>
                <w:sz w:val="14"/>
              </w:rPr>
              <w:t>0,999386</w:t>
            </w:r>
          </w:p>
        </w:tc>
      </w:tr>
      <w:tr>
        <w:trPr>
          <w:cantSplit/>
        </w:trPr>
        <w:tc>
          <w:tcPr>
            <w:tcW w:type="dxa" w:w="1336"/>
            <w:vAlign w:val="center"/>
          </w:tcPr>
          <w:p>
            <w:pPr>
              <w:spacing w:after="0"/>
              <w:ind w:firstLine="0"/>
              <w:jc w:val="left"/>
            </w:pPr>
            <w:r>
              <w:rPr>
                <w:rFonts w:ascii="Times New Roman" w:hAnsi="Times New Roman" w:eastAsia="Times New Roman"/>
                <w:sz w:val="14"/>
              </w:rPr>
              <w:t>XGBoost</w:t>
            </w:r>
          </w:p>
        </w:tc>
        <w:tc>
          <w:tcPr>
            <w:tcW w:type="dxa" w:w="1336"/>
            <w:vAlign w:val="center"/>
          </w:tcPr>
          <w:p>
            <w:pPr>
              <w:spacing w:after="0"/>
              <w:ind w:firstLine="0"/>
              <w:jc w:val="center"/>
            </w:pPr>
            <w:r>
              <w:rPr>
                <w:rFonts w:ascii="Times New Roman" w:hAnsi="Times New Roman" w:eastAsia="Times New Roman"/>
                <w:sz w:val="14"/>
              </w:rPr>
              <w:t>Acak</w:t>
            </w:r>
          </w:p>
        </w:tc>
        <w:tc>
          <w:tcPr>
            <w:tcW w:type="dxa" w:w="1336"/>
            <w:vAlign w:val="center"/>
          </w:tcPr>
          <w:p>
            <w:pPr>
              <w:spacing w:after="0"/>
              <w:ind w:firstLine="0"/>
              <w:jc w:val="center"/>
            </w:pPr>
            <w:r>
              <w:rPr>
                <w:rFonts w:ascii="Times New Roman" w:hAnsi="Times New Roman" w:eastAsia="Times New Roman"/>
                <w:sz w:val="14"/>
              </w:rPr>
              <w:t>0,999856</w:t>
            </w:r>
          </w:p>
        </w:tc>
        <w:tc>
          <w:tcPr>
            <w:tcW w:type="dxa" w:w="1336"/>
            <w:vAlign w:val="center"/>
          </w:tcPr>
          <w:p>
            <w:pPr>
              <w:spacing w:after="0"/>
              <w:ind w:firstLine="0"/>
              <w:jc w:val="center"/>
            </w:pPr>
            <w:r>
              <w:rPr>
                <w:rFonts w:ascii="Times New Roman" w:hAnsi="Times New Roman" w:eastAsia="Times New Roman"/>
                <w:sz w:val="14"/>
              </w:rPr>
              <w:t>0,999861</w:t>
            </w:r>
          </w:p>
        </w:tc>
        <w:tc>
          <w:tcPr>
            <w:tcW w:type="dxa" w:w="1336"/>
            <w:vAlign w:val="center"/>
          </w:tcPr>
          <w:p>
            <w:pPr>
              <w:spacing w:after="0"/>
              <w:ind w:firstLine="0"/>
              <w:jc w:val="center"/>
            </w:pPr>
            <w:r>
              <w:rPr>
                <w:rFonts w:ascii="Times New Roman" w:hAnsi="Times New Roman" w:eastAsia="Times New Roman"/>
                <w:sz w:val="14"/>
              </w:rPr>
              <w:t>0,999851</w:t>
            </w:r>
          </w:p>
        </w:tc>
        <w:tc>
          <w:tcPr>
            <w:tcW w:type="dxa" w:w="1336"/>
            <w:vAlign w:val="center"/>
          </w:tcPr>
          <w:p>
            <w:pPr>
              <w:spacing w:after="0"/>
              <w:ind w:firstLine="0"/>
              <w:jc w:val="center"/>
            </w:pPr>
            <w:r>
              <w:rPr>
                <w:rFonts w:ascii="Times New Roman" w:hAnsi="Times New Roman" w:eastAsia="Times New Roman"/>
                <w:sz w:val="14"/>
              </w:rPr>
              <w:t>0,000111</w:t>
            </w:r>
          </w:p>
        </w:tc>
        <w:tc>
          <w:tcPr>
            <w:tcW w:type="dxa" w:w="1336"/>
            <w:vAlign w:val="center"/>
          </w:tcPr>
          <w:p>
            <w:pPr>
              <w:spacing w:after="0"/>
              <w:ind w:firstLine="0"/>
              <w:jc w:val="center"/>
            </w:pPr>
            <w:r>
              <w:rPr>
                <w:rFonts w:ascii="Times New Roman" w:hAnsi="Times New Roman" w:eastAsia="Times New Roman"/>
                <w:sz w:val="14"/>
              </w:rPr>
              <w:t>0,999748</w:t>
            </w:r>
          </w:p>
        </w:tc>
      </w:tr>
      <w:tr>
        <w:trPr>
          <w:cantSplit/>
        </w:trPr>
        <w:tc>
          <w:tcPr>
            <w:tcW w:type="dxa" w:w="1336"/>
            <w:vAlign w:val="center"/>
          </w:tcPr>
          <w:p>
            <w:pPr>
              <w:spacing w:after="0"/>
              <w:ind w:firstLine="0"/>
              <w:jc w:val="left"/>
            </w:pPr>
            <w:r>
              <w:rPr>
                <w:rFonts w:ascii="Times New Roman" w:hAnsi="Times New Roman" w:eastAsia="Times New Roman"/>
                <w:sz w:val="14"/>
              </w:rPr>
              <w:t>XGBoost</w:t>
            </w:r>
          </w:p>
        </w:tc>
        <w:tc>
          <w:tcPr>
            <w:tcW w:type="dxa" w:w="1336"/>
            <w:vAlign w:val="center"/>
          </w:tcPr>
          <w:p>
            <w:pPr>
              <w:spacing w:after="0"/>
              <w:ind w:firstLine="0"/>
              <w:jc w:val="center"/>
            </w:pPr>
            <w:r>
              <w:rPr>
                <w:rFonts w:ascii="Times New Roman" w:hAnsi="Times New Roman" w:eastAsia="Times New Roman"/>
                <w:sz w:val="14"/>
              </w:rPr>
              <w:t>Site-disjoint</w:t>
            </w:r>
          </w:p>
        </w:tc>
        <w:tc>
          <w:tcPr>
            <w:tcW w:type="dxa" w:w="1336"/>
            <w:vAlign w:val="center"/>
          </w:tcPr>
          <w:p>
            <w:pPr>
              <w:spacing w:after="0"/>
              <w:ind w:firstLine="0"/>
              <w:jc w:val="center"/>
            </w:pPr>
            <w:r>
              <w:rPr>
                <w:rFonts w:ascii="Times New Roman" w:hAnsi="Times New Roman" w:eastAsia="Times New Roman"/>
                <w:sz w:val="14"/>
              </w:rPr>
              <w:t>0,999693</w:t>
            </w:r>
          </w:p>
        </w:tc>
        <w:tc>
          <w:tcPr>
            <w:tcW w:type="dxa" w:w="1336"/>
            <w:vAlign w:val="center"/>
          </w:tcPr>
          <w:p>
            <w:pPr>
              <w:spacing w:after="0"/>
              <w:ind w:firstLine="0"/>
              <w:jc w:val="center"/>
            </w:pPr>
            <w:r>
              <w:rPr>
                <w:rFonts w:ascii="Times New Roman" w:hAnsi="Times New Roman" w:eastAsia="Times New Roman"/>
                <w:sz w:val="14"/>
              </w:rPr>
              <w:t>0,999563</w:t>
            </w:r>
          </w:p>
        </w:tc>
        <w:tc>
          <w:tcPr>
            <w:tcW w:type="dxa" w:w="1336"/>
            <w:vAlign w:val="center"/>
          </w:tcPr>
          <w:p>
            <w:pPr>
              <w:spacing w:after="0"/>
              <w:ind w:firstLine="0"/>
              <w:jc w:val="center"/>
            </w:pPr>
            <w:r>
              <w:rPr>
                <w:rFonts w:ascii="Times New Roman" w:hAnsi="Times New Roman" w:eastAsia="Times New Roman"/>
                <w:sz w:val="14"/>
              </w:rPr>
              <w:t>0,999823</w:t>
            </w:r>
          </w:p>
        </w:tc>
        <w:tc>
          <w:tcPr>
            <w:tcW w:type="dxa" w:w="1336"/>
            <w:vAlign w:val="center"/>
          </w:tcPr>
          <w:p>
            <w:pPr>
              <w:spacing w:after="0"/>
              <w:ind w:firstLine="0"/>
              <w:jc w:val="center"/>
            </w:pPr>
            <w:r>
              <w:rPr>
                <w:rFonts w:ascii="Times New Roman" w:hAnsi="Times New Roman" w:eastAsia="Times New Roman"/>
                <w:sz w:val="14"/>
              </w:rPr>
              <w:t>0,000111</w:t>
            </w:r>
          </w:p>
        </w:tc>
        <w:tc>
          <w:tcPr>
            <w:tcW w:type="dxa" w:w="1336"/>
            <w:vAlign w:val="center"/>
          </w:tcPr>
          <w:p>
            <w:pPr>
              <w:spacing w:after="0"/>
              <w:ind w:firstLine="0"/>
              <w:jc w:val="center"/>
            </w:pPr>
            <w:r>
              <w:rPr>
                <w:rFonts w:ascii="Times New Roman" w:hAnsi="Times New Roman" w:eastAsia="Times New Roman"/>
                <w:sz w:val="14"/>
              </w:rPr>
              <w:t>0,999501</w:t>
            </w:r>
          </w:p>
        </w:tc>
      </w:tr>
    </w:tbl>
    <w:p>
      <w:pPr>
        <w:spacing w:after="20"/>
        <w:ind w:firstLine="0"/>
      </w:pPr>
    </w:p>
    <w:p>
      <w:pPr>
        <w:spacing w:after="60"/>
        <w:ind w:firstLine="283"/>
        <w:jc w:val="both"/>
      </w:pPr>
      <w:r>
        <w:rPr>
          <w:rFonts w:ascii="Times New Roman" w:hAnsi="Times New Roman" w:eastAsia="Times New Roman"/>
          <w:sz w:val="19"/>
        </w:rPr>
        <w:t>Selisih rerata antarprotokol berada pada rentang 0,000162 sampai 0,001178 dalam F1, bergantung pada model dan konfigurasi. Untuk A0/LightGBM selisihnya 0,000203; untuk A0/XGBoost 0,000162, dihitung dari nilai tak-terbulatkan pada summary.csv eksperimen 5. Interval kepercayaan 95 % berbasis t (df = 4) pada masing-masing protokol dihitung dan tersedia pada seed_t_intervals.csv eksperimen 5, tidak ditabulasikan dalam artikel ini; interval tersebut menunjukkan variasi lintas seed, bukan menguji selisih lintas protokol. Perbandingan antarprotokol di sini bersifat deskriptif: tidak ada uji berpasangan lintas protokol yang dijalankan karena partisi ujinya berbeda dan bukan pasangan baris yang sama. Tumpang tindih interval juga tidak diperlakukan sebagai bukti ekuivalensi.</w:t>
      </w:r>
    </w:p>
    <w:p>
      <w:pPr>
        <w:spacing w:after="60"/>
        <w:ind w:firstLine="283"/>
        <w:jc w:val="both"/>
      </w:pPr>
      <w:r>
        <w:rPr>
          <w:rFonts w:ascii="Times New Roman" w:hAnsi="Times New Roman" w:eastAsia="Times New Roman"/>
          <w:sz w:val="19"/>
        </w:rPr>
        <w:t xml:space="preserve">Ukuran partisi uji juga berbeda antarprotokol. Pembagian acak menggunakan 47.074 baris uji untuk setiap seed, sedangkan pembagian </w:t>
      </w:r>
      <w:r>
        <w:rPr>
          <w:rFonts w:ascii="Times New Roman" w:hAnsi="Times New Roman" w:eastAsia="Times New Roman"/>
          <w:i/>
          <w:sz w:val="19"/>
        </w:rPr>
        <w:t>site-disjoint</w:t>
      </w:r>
      <w:r>
        <w:rPr>
          <w:rFonts w:ascii="Times New Roman" w:hAnsi="Times New Roman" w:eastAsia="Times New Roman"/>
          <w:sz w:val="19"/>
        </w:rPr>
        <w:t xml:space="preserve"> menghasilkan partisi uji yang berbeda antarseed. Rerata lima seed karena itu merata-ratakan lima partisi uji yang berbeda, bukan lima pengulangan pada partisi yang sama.</w:t>
      </w:r>
    </w:p>
    <w:p>
      <w:pPr>
        <w:spacing w:after="60"/>
        <w:ind w:firstLine="283"/>
        <w:jc w:val="both"/>
      </w:pPr>
      <w:r>
        <w:rPr>
          <w:rFonts w:ascii="Times New Roman" w:hAnsi="Times New Roman" w:eastAsia="Times New Roman"/>
          <w:sz w:val="19"/>
        </w:rPr>
        <w:t xml:space="preserve">Angka pada Tabel 3 harus dibaca bersama Bagian 3.1. Pada baseline 0,9996, selisih 0,0002 dalam F1 setara dengan perubahan beberapa keputusan klasifikasi saja pada partisi uji berukuran puluhan ribu baris. Selisih tersebut kecil secara praktis; signifikansi statistik lintas protokol tidak diuji karena baris uji tidak berpasangan. Artikel ini tidak menyimpulkan bahwa protokol </w:t>
      </w:r>
      <w:r>
        <w:rPr>
          <w:rFonts w:ascii="Times New Roman" w:hAnsi="Times New Roman" w:eastAsia="Times New Roman"/>
          <w:i/>
          <w:sz w:val="19"/>
        </w:rPr>
        <w:t>site-disjoint</w:t>
      </w:r>
      <w:r>
        <w:rPr>
          <w:rFonts w:ascii="Times New Roman" w:hAnsi="Times New Roman" w:eastAsia="Times New Roman"/>
          <w:sz w:val="19"/>
        </w:rPr>
        <w:t xml:space="preserve"> "memperbaiki" evaluasi dalam pengertian peningkatan kinerja model. Yang berubah adalah keabsahan klaim, bukan kemampuan model.</w:t>
      </w:r>
    </w:p>
    <w:p>
      <w:pPr>
        <w:spacing w:after="60"/>
        <w:ind w:firstLine="283"/>
        <w:jc w:val="both"/>
      </w:pPr>
      <w:r>
        <w:rPr>
          <w:rFonts w:ascii="Times New Roman" w:hAnsi="Times New Roman" w:eastAsia="Times New Roman"/>
          <w:sz w:val="19"/>
        </w:rPr>
        <w:t>Studi metodologis menekankan bahwa pengaruh protokol bergantung pada unit independensi dan karakteristik dataset [3], [5], [6]. Pada PhiUSIIL, dua kolom A0 memiliki AUC tunggal sekitar 0,988 atau lebih, sementara F1 teramati mendekati satu. Pola ini konsisten dengan saturasi benchmark deskriptif, tetapi penelitian ini tidak menguji apakah fitur, konstruksi label, pengumpulan data, paparan domain, atau faktor lain menyebabkannya; interpretasi ters</w:t>
      </w:r>
      <w:r>
        <w:rPr>
          <w:rFonts w:ascii="Times New Roman" w:hAnsi="Times New Roman" w:eastAsia="Times New Roman"/>
          <w:i/>
          <w:sz w:val="19"/>
        </w:rPr>
        <w:t>e</w:t>
      </w:r>
      <w:r>
        <w:rPr>
          <w:rFonts w:ascii="Times New Roman" w:hAnsi="Times New Roman" w:eastAsia="Times New Roman"/>
          <w:sz w:val="19"/>
        </w:rPr>
        <w:t>but tidak boleh digeneralisasi ke korpus lain.</w:t>
      </w:r>
    </w:p>
    <w:p>
      <w:pPr>
        <w:pStyle w:val="Heading2"/>
        <w:ind w:firstLine="0"/>
        <w:jc w:val="left"/>
      </w:pPr>
      <w:r>
        <w:rPr>
          <w:rFonts w:ascii="Times New Roman" w:hAnsi="Times New Roman" w:eastAsia="Times New Roman"/>
          <w:sz w:val="20"/>
        </w:rPr>
        <w:t>3.3 Metrik Operasional dan Biaya Komputasi Benchmark</w:t>
      </w:r>
    </w:p>
    <w:p>
      <w:pPr>
        <w:spacing w:after="60"/>
        <w:ind w:firstLine="283"/>
        <w:jc w:val="both"/>
      </w:pPr>
      <w:r>
        <w:rPr>
          <w:rFonts w:ascii="Times New Roman" w:hAnsi="Times New Roman" w:eastAsia="Times New Roman"/>
          <w:sz w:val="19"/>
        </w:rPr>
        <w:t xml:space="preserve">F1 saja tidak memadai untuk menilai kelayakan operasional. Tabel 4 melaporkan metrik pendamping pada protokol </w:t>
      </w:r>
      <w:r>
        <w:rPr>
          <w:rFonts w:ascii="Times New Roman" w:hAnsi="Times New Roman" w:eastAsia="Times New Roman"/>
          <w:i/>
          <w:sz w:val="19"/>
        </w:rPr>
        <w:t>site-disjoint</w:t>
      </w:r>
      <w:r>
        <w:rPr>
          <w:rFonts w:ascii="Times New Roman" w:hAnsi="Times New Roman" w:eastAsia="Times New Roman"/>
          <w:sz w:val="19"/>
        </w:rPr>
        <w:t xml:space="preserve"> untuk tiga konfigurasi fitur dengan LightGBM. Pembagian ini mengecualikan kunci registrable domain bersama antara data latih dan uji; hal tersebut tidak membuktikan independensi pada tingkat penyewa atau menyingkirkan semua bentuk tumpang tindih maupun kebocoran.</w:t>
      </w:r>
    </w:p>
    <w:p>
      <w:pPr>
        <w:keepNext/>
        <w:spacing w:after="60"/>
        <w:ind w:firstLine="0"/>
        <w:jc w:val="center"/>
      </w:pPr>
      <w:r>
        <w:rPr>
          <w:rFonts w:ascii="Times New Roman" w:hAnsi="Times New Roman" w:eastAsia="Times New Roman"/>
          <w:b/>
          <w:sz w:val="17"/>
        </w:rPr>
        <w:t>Tabel 4.</w:t>
      </w:r>
      <w:r>
        <w:rPr>
          <w:rFonts w:ascii="Times New Roman" w:hAnsi="Times New Roman" w:eastAsia="Times New Roman"/>
          <w:sz w:val="17"/>
        </w:rPr>
        <w:t xml:space="preserve"> Metrik kelas phishing pada protokol </w:t>
      </w:r>
      <w:r>
        <w:rPr>
          <w:rFonts w:ascii="Times New Roman" w:hAnsi="Times New Roman" w:eastAsia="Times New Roman"/>
          <w:i/>
          <w:sz w:val="17"/>
        </w:rPr>
        <w:t>site-disjoint</w:t>
      </w:r>
      <w:r>
        <w:rPr>
          <w:rFonts w:ascii="Times New Roman" w:hAnsi="Times New Roman" w:eastAsia="Times New Roman"/>
          <w:sz w:val="17"/>
        </w:rPr>
        <w:t>, LightGBM, rerata lima seed.</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cantSplit/>
          <w:tblHeader w:val="true"/>
        </w:trPr>
        <w:tc>
          <w:tcPr>
            <w:tcW w:type="dxa" w:w="1169"/>
            <w:vAlign w:val="center"/>
          </w:tcPr>
          <w:p>
            <w:pPr>
              <w:spacing w:after="0"/>
              <w:ind w:firstLine="0"/>
              <w:jc w:val="center"/>
            </w:pPr>
            <w:r>
              <w:rPr>
                <w:rFonts w:ascii="Times New Roman" w:hAnsi="Times New Roman" w:eastAsia="Times New Roman"/>
                <w:b/>
                <w:sz w:val="14"/>
              </w:rPr>
              <w:t>Konfigurasi</w:t>
            </w:r>
          </w:p>
        </w:tc>
        <w:tc>
          <w:tcPr>
            <w:tcW w:type="dxa" w:w="1169"/>
            <w:vAlign w:val="center"/>
          </w:tcPr>
          <w:p>
            <w:pPr>
              <w:spacing w:after="0"/>
              <w:ind w:firstLine="0"/>
              <w:jc w:val="center"/>
            </w:pPr>
            <w:r>
              <w:rPr>
                <w:rFonts w:ascii="Times New Roman" w:hAnsi="Times New Roman" w:eastAsia="Times New Roman"/>
                <w:b/>
                <w:sz w:val="14"/>
              </w:rPr>
              <w:t>Jumlah fitur</w:t>
            </w:r>
          </w:p>
        </w:tc>
        <w:tc>
          <w:tcPr>
            <w:tcW w:type="dxa" w:w="1169"/>
            <w:vAlign w:val="center"/>
          </w:tcPr>
          <w:p>
            <w:pPr>
              <w:spacing w:after="0"/>
              <w:ind w:firstLine="0"/>
              <w:jc w:val="center"/>
            </w:pPr>
            <w:r>
              <w:rPr>
                <w:rFonts w:ascii="Times New Roman" w:hAnsi="Times New Roman" w:eastAsia="Times New Roman"/>
                <w:b/>
                <w:sz w:val="14"/>
              </w:rPr>
              <w:t>F1 phish</w:t>
            </w:r>
          </w:p>
        </w:tc>
        <w:tc>
          <w:tcPr>
            <w:tcW w:type="dxa" w:w="1169"/>
            <w:vAlign w:val="center"/>
          </w:tcPr>
          <w:p>
            <w:pPr>
              <w:spacing w:after="0"/>
              <w:ind w:firstLine="0"/>
              <w:jc w:val="center"/>
            </w:pPr>
            <w:r>
              <w:rPr>
                <w:rFonts w:ascii="Times New Roman" w:hAnsi="Times New Roman" w:eastAsia="Times New Roman"/>
                <w:b/>
                <w:sz w:val="14"/>
              </w:rPr>
              <w:t>Recall</w:t>
            </w:r>
          </w:p>
        </w:tc>
        <w:tc>
          <w:tcPr>
            <w:tcW w:type="dxa" w:w="1169"/>
            <w:vAlign w:val="center"/>
          </w:tcPr>
          <w:p>
            <w:pPr>
              <w:spacing w:after="0"/>
              <w:ind w:firstLine="0"/>
              <w:jc w:val="center"/>
            </w:pPr>
            <w:r>
              <w:rPr>
                <w:rFonts w:ascii="Times New Roman" w:hAnsi="Times New Roman" w:eastAsia="Times New Roman"/>
                <w:b/>
                <w:sz w:val="14"/>
              </w:rPr>
              <w:t>Precision</w:t>
            </w:r>
          </w:p>
        </w:tc>
        <w:tc>
          <w:tcPr>
            <w:tcW w:type="dxa" w:w="1169"/>
            <w:vAlign w:val="center"/>
          </w:tcPr>
          <w:p>
            <w:pPr>
              <w:spacing w:after="0"/>
              <w:ind w:firstLine="0"/>
              <w:jc w:val="center"/>
            </w:pPr>
            <w:r>
              <w:rPr>
                <w:rFonts w:ascii="Times New Roman" w:hAnsi="Times New Roman" w:eastAsia="Times New Roman"/>
                <w:b/>
                <w:sz w:val="14"/>
              </w:rPr>
              <w:t>FPR benign</w:t>
            </w:r>
          </w:p>
        </w:tc>
        <w:tc>
          <w:tcPr>
            <w:tcW w:type="dxa" w:w="1169"/>
            <w:vAlign w:val="center"/>
          </w:tcPr>
          <w:p>
            <w:pPr>
              <w:spacing w:after="0"/>
              <w:ind w:firstLine="0"/>
              <w:jc w:val="center"/>
            </w:pPr>
            <w:r>
              <w:rPr>
                <w:rFonts w:ascii="Times New Roman" w:hAnsi="Times New Roman" w:eastAsia="Times New Roman"/>
                <w:b/>
                <w:sz w:val="14"/>
              </w:rPr>
              <w:t>MCC</w:t>
            </w:r>
          </w:p>
        </w:tc>
        <w:tc>
          <w:tcPr>
            <w:tcW w:type="dxa" w:w="1169"/>
            <w:vAlign w:val="center"/>
          </w:tcPr>
          <w:p>
            <w:pPr>
              <w:spacing w:after="0"/>
              <w:ind w:firstLine="0"/>
              <w:jc w:val="center"/>
            </w:pPr>
            <w:r>
              <w:rPr>
                <w:rFonts w:ascii="Times New Roman" w:hAnsi="Times New Roman" w:eastAsia="Times New Roman"/>
                <w:b/>
                <w:sz w:val="14"/>
              </w:rPr>
              <w:t>Akurasi</w:t>
            </w:r>
          </w:p>
        </w:tc>
      </w:tr>
      <w:tr>
        <w:trPr>
          <w:cantSplit/>
        </w:trPr>
        <w:tc>
          <w:tcPr>
            <w:tcW w:type="dxa" w:w="1169"/>
            <w:vAlign w:val="center"/>
          </w:tcPr>
          <w:p>
            <w:pPr>
              <w:spacing w:after="0"/>
              <w:ind w:firstLine="0"/>
              <w:jc w:val="left"/>
            </w:pPr>
            <w:r>
              <w:rPr>
                <w:rFonts w:ascii="Times New Roman" w:hAnsi="Times New Roman" w:eastAsia="Times New Roman"/>
                <w:sz w:val="14"/>
              </w:rPr>
              <w:t>A0</w:t>
            </w:r>
          </w:p>
        </w:tc>
        <w:tc>
          <w:tcPr>
            <w:tcW w:type="dxa" w:w="1169"/>
            <w:vAlign w:val="center"/>
          </w:tcPr>
          <w:p>
            <w:pPr>
              <w:spacing w:after="0"/>
              <w:ind w:firstLine="0"/>
              <w:jc w:val="center"/>
            </w:pPr>
            <w:r>
              <w:rPr>
                <w:rFonts w:ascii="Times New Roman" w:hAnsi="Times New Roman" w:eastAsia="Times New Roman"/>
                <w:sz w:val="14"/>
              </w:rPr>
              <w:t>47</w:t>
            </w:r>
          </w:p>
        </w:tc>
        <w:tc>
          <w:tcPr>
            <w:tcW w:type="dxa" w:w="1169"/>
            <w:vAlign w:val="center"/>
          </w:tcPr>
          <w:p>
            <w:pPr>
              <w:spacing w:after="0"/>
              <w:ind w:firstLine="0"/>
              <w:jc w:val="center"/>
            </w:pPr>
            <w:r>
              <w:rPr>
                <w:rFonts w:ascii="Times New Roman" w:hAnsi="Times New Roman" w:eastAsia="Times New Roman"/>
                <w:sz w:val="14"/>
              </w:rPr>
              <w:t>0,999623</w:t>
            </w:r>
          </w:p>
        </w:tc>
        <w:tc>
          <w:tcPr>
            <w:tcW w:type="dxa" w:w="1169"/>
            <w:vAlign w:val="center"/>
          </w:tcPr>
          <w:p>
            <w:pPr>
              <w:spacing w:after="0"/>
              <w:ind w:firstLine="0"/>
              <w:jc w:val="center"/>
            </w:pPr>
            <w:r>
              <w:rPr>
                <w:rFonts w:ascii="Times New Roman" w:hAnsi="Times New Roman" w:eastAsia="Times New Roman"/>
                <w:sz w:val="14"/>
              </w:rPr>
              <w:t>0,999422</w:t>
            </w:r>
          </w:p>
        </w:tc>
        <w:tc>
          <w:tcPr>
            <w:tcW w:type="dxa" w:w="1169"/>
            <w:vAlign w:val="center"/>
          </w:tcPr>
          <w:p>
            <w:pPr>
              <w:spacing w:after="0"/>
              <w:ind w:firstLine="0"/>
              <w:jc w:val="center"/>
            </w:pPr>
            <w:r>
              <w:rPr>
                <w:rFonts w:ascii="Times New Roman" w:hAnsi="Times New Roman" w:eastAsia="Times New Roman"/>
                <w:sz w:val="14"/>
              </w:rPr>
              <w:t>0,999823</w:t>
            </w:r>
          </w:p>
        </w:tc>
        <w:tc>
          <w:tcPr>
            <w:tcW w:type="dxa" w:w="1169"/>
            <w:vAlign w:val="center"/>
          </w:tcPr>
          <w:p>
            <w:pPr>
              <w:spacing w:after="0"/>
              <w:ind w:firstLine="0"/>
              <w:jc w:val="center"/>
            </w:pPr>
            <w:r>
              <w:rPr>
                <w:rFonts w:ascii="Times New Roman" w:hAnsi="Times New Roman" w:eastAsia="Times New Roman"/>
                <w:sz w:val="14"/>
              </w:rPr>
              <w:t>0,000111</w:t>
            </w:r>
          </w:p>
        </w:tc>
        <w:tc>
          <w:tcPr>
            <w:tcW w:type="dxa" w:w="1169"/>
            <w:vAlign w:val="center"/>
          </w:tcPr>
          <w:p>
            <w:pPr>
              <w:spacing w:after="0"/>
              <w:ind w:firstLine="0"/>
              <w:jc w:val="center"/>
            </w:pPr>
            <w:r>
              <w:rPr>
                <w:rFonts w:ascii="Times New Roman" w:hAnsi="Times New Roman" w:eastAsia="Times New Roman"/>
                <w:sz w:val="14"/>
              </w:rPr>
              <w:t>0,999386</w:t>
            </w:r>
          </w:p>
        </w:tc>
        <w:tc>
          <w:tcPr>
            <w:tcW w:type="dxa" w:w="1169"/>
            <w:vAlign w:val="center"/>
          </w:tcPr>
          <w:p>
            <w:pPr>
              <w:spacing w:after="0"/>
              <w:ind w:firstLine="0"/>
              <w:jc w:val="center"/>
            </w:pPr>
            <w:r>
              <w:rPr>
                <w:rFonts w:ascii="Times New Roman" w:hAnsi="Times New Roman" w:eastAsia="Times New Roman"/>
                <w:sz w:val="14"/>
              </w:rPr>
              <w:t>0,999710</w:t>
            </w:r>
          </w:p>
        </w:tc>
      </w:tr>
      <w:tr>
        <w:trPr>
          <w:cantSplit/>
        </w:trPr>
        <w:tc>
          <w:tcPr>
            <w:tcW w:type="dxa" w:w="1169"/>
            <w:vAlign w:val="center"/>
          </w:tcPr>
          <w:p>
            <w:pPr>
              <w:spacing w:after="0"/>
              <w:ind w:firstLine="0"/>
              <w:jc w:val="left"/>
            </w:pPr>
            <w:r>
              <w:rPr>
                <w:rFonts w:ascii="Times New Roman" w:hAnsi="Times New Roman" w:eastAsia="Times New Roman"/>
                <w:sz w:val="14"/>
              </w:rPr>
              <w:t>A1</w:t>
            </w:r>
          </w:p>
        </w:tc>
        <w:tc>
          <w:tcPr>
            <w:tcW w:type="dxa" w:w="1169"/>
            <w:vAlign w:val="center"/>
          </w:tcPr>
          <w:p>
            <w:pPr>
              <w:spacing w:after="0"/>
              <w:ind w:firstLine="0"/>
              <w:jc w:val="center"/>
            </w:pPr>
            <w:r>
              <w:rPr>
                <w:rFonts w:ascii="Times New Roman" w:hAnsi="Times New Roman" w:eastAsia="Times New Roman"/>
                <w:sz w:val="14"/>
              </w:rPr>
              <w:t>41</w:t>
            </w:r>
          </w:p>
        </w:tc>
        <w:tc>
          <w:tcPr>
            <w:tcW w:type="dxa" w:w="1169"/>
            <w:vAlign w:val="center"/>
          </w:tcPr>
          <w:p>
            <w:pPr>
              <w:spacing w:after="0"/>
              <w:ind w:firstLine="0"/>
              <w:jc w:val="center"/>
            </w:pPr>
            <w:r>
              <w:rPr>
                <w:rFonts w:ascii="Times New Roman" w:hAnsi="Times New Roman" w:eastAsia="Times New Roman"/>
                <w:sz w:val="14"/>
              </w:rPr>
              <w:t>0,999055</w:t>
            </w:r>
          </w:p>
        </w:tc>
        <w:tc>
          <w:tcPr>
            <w:tcW w:type="dxa" w:w="1169"/>
            <w:vAlign w:val="center"/>
          </w:tcPr>
          <w:p>
            <w:pPr>
              <w:spacing w:after="0"/>
              <w:ind w:firstLine="0"/>
              <w:jc w:val="center"/>
            </w:pPr>
            <w:r>
              <w:rPr>
                <w:rFonts w:ascii="Times New Roman" w:hAnsi="Times New Roman" w:eastAsia="Times New Roman"/>
                <w:sz w:val="14"/>
              </w:rPr>
              <w:t>0,998583</w:t>
            </w:r>
          </w:p>
        </w:tc>
        <w:tc>
          <w:tcPr>
            <w:tcW w:type="dxa" w:w="1169"/>
            <w:vAlign w:val="center"/>
          </w:tcPr>
          <w:p>
            <w:pPr>
              <w:spacing w:after="0"/>
              <w:ind w:firstLine="0"/>
              <w:jc w:val="center"/>
            </w:pPr>
            <w:r>
              <w:rPr>
                <w:rFonts w:ascii="Times New Roman" w:hAnsi="Times New Roman" w:eastAsia="Times New Roman"/>
                <w:sz w:val="14"/>
              </w:rPr>
              <w:t>0,999528</w:t>
            </w:r>
          </w:p>
        </w:tc>
        <w:tc>
          <w:tcPr>
            <w:tcW w:type="dxa" w:w="1169"/>
            <w:vAlign w:val="center"/>
          </w:tcPr>
          <w:p>
            <w:pPr>
              <w:spacing w:after="0"/>
              <w:ind w:firstLine="0"/>
              <w:jc w:val="center"/>
            </w:pPr>
            <w:r>
              <w:rPr>
                <w:rFonts w:ascii="Times New Roman" w:hAnsi="Times New Roman" w:eastAsia="Times New Roman"/>
                <w:sz w:val="14"/>
              </w:rPr>
              <w:t>0,000296</w:t>
            </w:r>
          </w:p>
        </w:tc>
        <w:tc>
          <w:tcPr>
            <w:tcW w:type="dxa" w:w="1169"/>
            <w:vAlign w:val="center"/>
          </w:tcPr>
          <w:p>
            <w:pPr>
              <w:spacing w:after="0"/>
              <w:ind w:firstLine="0"/>
              <w:jc w:val="center"/>
            </w:pPr>
            <w:r>
              <w:rPr>
                <w:rFonts w:ascii="Times New Roman" w:hAnsi="Times New Roman" w:eastAsia="Times New Roman"/>
                <w:sz w:val="14"/>
              </w:rPr>
              <w:t>0,998460</w:t>
            </w:r>
          </w:p>
        </w:tc>
        <w:tc>
          <w:tcPr>
            <w:tcW w:type="dxa" w:w="1169"/>
            <w:vAlign w:val="center"/>
          </w:tcPr>
          <w:p>
            <w:pPr>
              <w:spacing w:after="0"/>
              <w:ind w:firstLine="0"/>
              <w:jc w:val="center"/>
            </w:pPr>
            <w:r>
              <w:rPr>
                <w:rFonts w:ascii="Times New Roman" w:hAnsi="Times New Roman" w:eastAsia="Times New Roman"/>
                <w:sz w:val="14"/>
              </w:rPr>
              <w:t>0,999270</w:t>
            </w:r>
          </w:p>
        </w:tc>
      </w:tr>
      <w:tr>
        <w:trPr>
          <w:cantSplit/>
        </w:trPr>
        <w:tc>
          <w:tcPr>
            <w:tcW w:type="dxa" w:w="1169"/>
            <w:vAlign w:val="center"/>
          </w:tcPr>
          <w:p>
            <w:pPr>
              <w:spacing w:after="0"/>
              <w:ind w:firstLine="0"/>
              <w:jc w:val="left"/>
            </w:pPr>
            <w:r>
              <w:rPr>
                <w:rFonts w:ascii="Times New Roman" w:hAnsi="Times New Roman" w:eastAsia="Times New Roman"/>
                <w:sz w:val="14"/>
              </w:rPr>
              <w:t>A2</w:t>
            </w:r>
          </w:p>
        </w:tc>
        <w:tc>
          <w:tcPr>
            <w:tcW w:type="dxa" w:w="1169"/>
            <w:vAlign w:val="center"/>
          </w:tcPr>
          <w:p>
            <w:pPr>
              <w:spacing w:after="0"/>
              <w:ind w:firstLine="0"/>
              <w:jc w:val="center"/>
            </w:pPr>
            <w:r>
              <w:rPr>
                <w:rFonts w:ascii="Times New Roman" w:hAnsi="Times New Roman" w:eastAsia="Times New Roman"/>
                <w:sz w:val="14"/>
              </w:rPr>
              <w:t>18</w:t>
            </w:r>
          </w:p>
        </w:tc>
        <w:tc>
          <w:tcPr>
            <w:tcW w:type="dxa" w:w="1169"/>
            <w:vAlign w:val="center"/>
          </w:tcPr>
          <w:p>
            <w:pPr>
              <w:spacing w:after="0"/>
              <w:ind w:firstLine="0"/>
              <w:jc w:val="center"/>
            </w:pPr>
            <w:r>
              <w:rPr>
                <w:rFonts w:ascii="Times New Roman" w:hAnsi="Times New Roman" w:eastAsia="Times New Roman"/>
                <w:sz w:val="14"/>
              </w:rPr>
              <w:t>0,995186</w:t>
            </w:r>
          </w:p>
        </w:tc>
        <w:tc>
          <w:tcPr>
            <w:tcW w:type="dxa" w:w="1169"/>
            <w:vAlign w:val="center"/>
          </w:tcPr>
          <w:p>
            <w:pPr>
              <w:spacing w:after="0"/>
              <w:ind w:firstLine="0"/>
              <w:jc w:val="center"/>
            </w:pPr>
            <w:r>
              <w:rPr>
                <w:rFonts w:ascii="Times New Roman" w:hAnsi="Times New Roman" w:eastAsia="Times New Roman"/>
                <w:sz w:val="14"/>
              </w:rPr>
              <w:t>0,991828</w:t>
            </w:r>
          </w:p>
        </w:tc>
        <w:tc>
          <w:tcPr>
            <w:tcW w:type="dxa" w:w="1169"/>
            <w:vAlign w:val="center"/>
          </w:tcPr>
          <w:p>
            <w:pPr>
              <w:spacing w:after="0"/>
              <w:ind w:firstLine="0"/>
              <w:jc w:val="center"/>
            </w:pPr>
            <w:r>
              <w:rPr>
                <w:rFonts w:ascii="Times New Roman" w:hAnsi="Times New Roman" w:eastAsia="Times New Roman"/>
                <w:sz w:val="14"/>
              </w:rPr>
              <w:t>0,998569</w:t>
            </w:r>
          </w:p>
        </w:tc>
        <w:tc>
          <w:tcPr>
            <w:tcW w:type="dxa" w:w="1169"/>
            <w:vAlign w:val="center"/>
          </w:tcPr>
          <w:p>
            <w:pPr>
              <w:spacing w:after="0"/>
              <w:ind w:firstLine="0"/>
              <w:jc w:val="center"/>
            </w:pPr>
            <w:r>
              <w:rPr>
                <w:rFonts w:ascii="Times New Roman" w:hAnsi="Times New Roman" w:eastAsia="Times New Roman"/>
                <w:sz w:val="14"/>
              </w:rPr>
              <w:t>0,000902</w:t>
            </w:r>
          </w:p>
        </w:tc>
        <w:tc>
          <w:tcPr>
            <w:tcW w:type="dxa" w:w="1169"/>
            <w:vAlign w:val="center"/>
          </w:tcPr>
          <w:p>
            <w:pPr>
              <w:spacing w:after="0"/>
              <w:ind w:firstLine="0"/>
              <w:jc w:val="center"/>
            </w:pPr>
            <w:r>
              <w:rPr>
                <w:rFonts w:ascii="Times New Roman" w:hAnsi="Times New Roman" w:eastAsia="Times New Roman"/>
                <w:sz w:val="14"/>
              </w:rPr>
              <w:t>0,992179</w:t>
            </w:r>
          </w:p>
        </w:tc>
        <w:tc>
          <w:tcPr>
            <w:tcW w:type="dxa" w:w="1169"/>
            <w:vAlign w:val="center"/>
          </w:tcPr>
          <w:p>
            <w:pPr>
              <w:spacing w:after="0"/>
              <w:ind w:firstLine="0"/>
              <w:jc w:val="center"/>
            </w:pPr>
            <w:r>
              <w:rPr>
                <w:rFonts w:ascii="Times New Roman" w:hAnsi="Times New Roman" w:eastAsia="Times New Roman"/>
                <w:sz w:val="14"/>
              </w:rPr>
              <w:t>0,996289</w:t>
            </w:r>
          </w:p>
        </w:tc>
      </w:tr>
    </w:tbl>
    <w:p>
      <w:pPr>
        <w:spacing w:after="20"/>
        <w:ind w:firstLine="0"/>
      </w:pPr>
    </w:p>
    <w:p>
      <w:pPr>
        <w:spacing w:after="60"/>
        <w:ind w:firstLine="283"/>
        <w:jc w:val="both"/>
      </w:pPr>
      <w:r>
        <w:rPr>
          <w:rFonts w:ascii="Times New Roman" w:hAnsi="Times New Roman" w:eastAsia="Times New Roman"/>
          <w:sz w:val="19"/>
        </w:rPr>
        <w:t>Pola yang tampak konsisten: penurunan jumlah fitur menaikkan FPR pada kelas benign lebih cepat daripada menurunkan recall pada kelas phishing. Dari A0 ke A2, recall turun 0,0076 poin sementara FPR naik sekitar delapan kali lipat (0,000111 menjadi 0,000902). Pada korpus dengan prevalensi phishing rendah, kenaikan FPR pada orde ini dapat berdampak lebih besar terhadap beban investigasi analis daripada penurunan recall pada orde yang sama, tetapi besaran beban yang sebenarnya bergantung pada jumlah baris benign dan phishing, prevalensi, aturan tindak lanjut, dan biaya per investigasi, yang tidak dimodelkan di sini. Perbandingan ini bersifat deskriptif dan tidak boleh dipakai untuk menyimpulkan bahwa fitur konten "lebih penting" daripada fitur URL: A0 dan A2 juga berbeda dalam sumber representasi (lihat Bagian 3.4).</w:t>
      </w:r>
    </w:p>
    <w:p>
      <w:pPr>
        <w:spacing w:after="60"/>
        <w:ind w:firstLine="283"/>
        <w:jc w:val="both"/>
      </w:pPr>
      <w:r>
        <w:rPr>
          <w:rFonts w:ascii="Times New Roman" w:hAnsi="Times New Roman" w:eastAsia="Times New Roman"/>
          <w:sz w:val="19"/>
        </w:rPr>
        <w:t>Biaya komputasi dilaporkan secara terbatas. Pada evaluasi temporal PhreshPhish, waktu pelatihan LightGBM berada pada rentang 6,06 sampai 7,21 detik per kecocokan, dan waktu prediksi batch untuk 168.035 baris uji berada pada rentang 0,79 sampai 0,84 detik. Rentang tersebut berasal dari lima kecocokan seed pada artefak results_per_seed.csv dan tidak diperlakukan sebagai klaim yang portabel, karena pengukuran waktu bergantung pada perangkat keras dan beban sistem saat eksekusi.</w:t>
      </w:r>
      <w:r>
        <w:rPr>
          <w:rFonts w:ascii="Times New Roman" w:hAnsi="Times New Roman" w:eastAsia="Times New Roman"/>
          <w:sz w:val="19"/>
        </w:rPr>
        <w:t xml:space="preserve"> Metadata eksekusi mencatat 16 CPU logis dan konfigurasi n_jobs, tetapi jumlah thread efektif, kapasitas RAM, dan beban sistem saat eksekusi tidak dicatat; karena itu angka waktu tersebut adalah log eksekusi, bukan pembandingan biaya komputasi.</w:t>
      </w:r>
    </w:p>
    <w:p>
      <w:pPr>
        <w:pStyle w:val="Heading2"/>
        <w:ind w:firstLine="0"/>
        <w:jc w:val="left"/>
      </w:pPr>
      <w:r>
        <w:rPr>
          <w:rFonts w:ascii="Times New Roman" w:hAnsi="Times New Roman" w:eastAsia="Times New Roman"/>
          <w:sz w:val="20"/>
        </w:rPr>
        <w:t>3.4 Ablasi Kelompok Fitur dan Kontras Representasi</w:t>
      </w:r>
    </w:p>
    <w:p>
      <w:pPr>
        <w:spacing w:after="60"/>
        <w:ind w:firstLine="283"/>
        <w:jc w:val="both"/>
      </w:pPr>
      <w:r>
        <w:rPr>
          <w:rFonts w:ascii="Times New Roman" w:hAnsi="Times New Roman" w:eastAsia="Times New Roman"/>
          <w:sz w:val="19"/>
        </w:rPr>
        <w:t>Ablasi kelompok terkontrol dilakukan dengan membandingkan A1 terhadap A0, yaitu penghapusan enam fitur konten sebagai satu kelompok. Perbandingan dilakukan secara berpasangan pada unit registrable domain dengan 1.000 replikasi bootstrap, seed 42, dan 35.100 domain pada himpunan uji.</w:t>
      </w:r>
    </w:p>
    <w:p>
      <w:pPr>
        <w:keepNext/>
        <w:spacing w:after="60"/>
        <w:ind w:firstLine="0"/>
        <w:jc w:val="center"/>
      </w:pPr>
      <w:r>
        <w:rPr>
          <w:rFonts w:ascii="Times New Roman" w:hAnsi="Times New Roman" w:eastAsia="Times New Roman"/>
          <w:b/>
          <w:sz w:val="17"/>
        </w:rPr>
        <w:t>Tabel 5.</w:t>
      </w:r>
      <w:r>
        <w:rPr>
          <w:rFonts w:ascii="Times New Roman" w:hAnsi="Times New Roman" w:eastAsia="Times New Roman"/>
          <w:sz w:val="17"/>
        </w:rPr>
        <w:t xml:space="preserve"> Selisih berpasangan A1 − A0 pada protokol </w:t>
      </w:r>
      <w:r>
        <w:rPr>
          <w:rFonts w:ascii="Times New Roman" w:hAnsi="Times New Roman" w:eastAsia="Times New Roman"/>
          <w:i/>
          <w:sz w:val="17"/>
        </w:rPr>
        <w:t>site-disjoint</w:t>
      </w:r>
      <w:r>
        <w:rPr>
          <w:rFonts w:ascii="Times New Roman" w:hAnsi="Times New Roman" w:eastAsia="Times New Roman"/>
          <w:sz w:val="17"/>
        </w:rPr>
        <w:t>, 1.000 replikasi bootstrap domain.</w:t>
      </w:r>
      <w:r>
        <w:rPr>
          <w:rFonts w:ascii="Times New Roman" w:hAnsi="Times New Roman" w:eastAsia="Times New Roman"/>
          <w:sz w:val="17"/>
        </w:rPr>
        <w:t xml:space="preserve"> Titik estimasi memakai model seed 42; Tabel 4 menampilkan rerata lima seed.</w:t>
      </w:r>
    </w:p>
    <w:tbl>
      <w:tblPr>
        <w:tblStyle w:val="TableGrid"/>
        <w:tblW w:type="auto" w:w="0"/>
        <w:jc w:val="center"/>
        <w:tblLayout w:type="autofit"/>
        <w:tblLook w:firstColumn="1" w:firstRow="1" w:lastColumn="0" w:lastRow="0" w:noHBand="0" w:noVBand="1" w:val="04A0"/>
      </w:tblPr>
      <w:tblGrid>
        <w:gridCol w:w="1559"/>
        <w:gridCol w:w="1559"/>
        <w:gridCol w:w="1559"/>
        <w:gridCol w:w="1559"/>
        <w:gridCol w:w="1559"/>
        <w:gridCol w:w="1559"/>
      </w:tblGrid>
      <w:tr>
        <w:trPr>
          <w:cantSplit/>
          <w:tblHeader w:val="true"/>
        </w:trPr>
        <w:tc>
          <w:tcPr>
            <w:tcW w:type="dxa" w:w="1559"/>
            <w:vAlign w:val="center"/>
          </w:tcPr>
          <w:p>
            <w:pPr>
              <w:spacing w:after="0"/>
              <w:ind w:firstLine="0"/>
              <w:jc w:val="center"/>
            </w:pPr>
            <w:r>
              <w:rPr>
                <w:rFonts w:ascii="Times New Roman" w:hAnsi="Times New Roman" w:eastAsia="Times New Roman"/>
                <w:b/>
                <w:sz w:val="14"/>
              </w:rPr>
              <w:t>Metrik</w:t>
            </w:r>
          </w:p>
        </w:tc>
        <w:tc>
          <w:tcPr>
            <w:tcW w:type="dxa" w:w="1559"/>
            <w:vAlign w:val="center"/>
          </w:tcPr>
          <w:p>
            <w:pPr>
              <w:spacing w:after="0"/>
              <w:ind w:firstLine="0"/>
              <w:jc w:val="center"/>
            </w:pPr>
            <w:r>
              <w:rPr>
                <w:rFonts w:ascii="Times New Roman" w:hAnsi="Times New Roman" w:eastAsia="Times New Roman"/>
                <w:b/>
                <w:sz w:val="14"/>
              </w:rPr>
              <w:t>Model</w:t>
            </w:r>
          </w:p>
        </w:tc>
        <w:tc>
          <w:tcPr>
            <w:tcW w:type="dxa" w:w="1559"/>
            <w:vAlign w:val="center"/>
          </w:tcPr>
          <w:p>
            <w:pPr>
              <w:spacing w:after="0"/>
              <w:ind w:firstLine="0"/>
              <w:jc w:val="center"/>
            </w:pPr>
            <w:r>
              <w:rPr>
                <w:rFonts w:ascii="Times New Roman" w:hAnsi="Times New Roman" w:eastAsia="Times New Roman"/>
                <w:b/>
                <w:sz w:val="14"/>
              </w:rPr>
              <w:t>Selisih</w:t>
            </w:r>
          </w:p>
        </w:tc>
        <w:tc>
          <w:tcPr>
            <w:tcW w:type="dxa" w:w="1559"/>
            <w:vAlign w:val="center"/>
          </w:tcPr>
          <w:p>
            <w:pPr>
              <w:spacing w:after="0"/>
              <w:ind w:firstLine="0"/>
              <w:jc w:val="center"/>
            </w:pPr>
            <w:r>
              <w:rPr>
                <w:rFonts w:ascii="Times New Roman" w:hAnsi="Times New Roman" w:eastAsia="Times New Roman"/>
                <w:b/>
                <w:sz w:val="14"/>
              </w:rPr>
              <w:t>IK 95 % bawah</w:t>
            </w:r>
          </w:p>
        </w:tc>
        <w:tc>
          <w:tcPr>
            <w:tcW w:type="dxa" w:w="1559"/>
            <w:vAlign w:val="center"/>
          </w:tcPr>
          <w:p>
            <w:pPr>
              <w:spacing w:after="0"/>
              <w:ind w:firstLine="0"/>
              <w:jc w:val="center"/>
            </w:pPr>
            <w:r>
              <w:rPr>
                <w:rFonts w:ascii="Times New Roman" w:hAnsi="Times New Roman" w:eastAsia="Times New Roman"/>
                <w:b/>
                <w:sz w:val="14"/>
              </w:rPr>
              <w:t>IK 95 % atas</w:t>
            </w:r>
          </w:p>
        </w:tc>
        <w:tc>
          <w:tcPr>
            <w:tcW w:type="dxa" w:w="1559"/>
            <w:vAlign w:val="center"/>
          </w:tcPr>
          <w:p>
            <w:pPr>
              <w:spacing w:after="0"/>
              <w:ind w:firstLine="0"/>
              <w:jc w:val="center"/>
            </w:pPr>
            <w:r>
              <w:rPr>
                <w:rFonts w:ascii="Times New Roman" w:hAnsi="Times New Roman" w:eastAsia="Times New Roman"/>
                <w:b/>
                <w:sz w:val="14"/>
              </w:rPr>
              <w:t>Selang memuat nol</w:t>
            </w:r>
          </w:p>
        </w:tc>
      </w:tr>
      <w:tr>
        <w:trPr>
          <w:cantSplit/>
        </w:trPr>
        <w:tc>
          <w:tcPr>
            <w:tcW w:type="dxa" w:w="1559"/>
            <w:vAlign w:val="center"/>
          </w:tcPr>
          <w:p>
            <w:pPr>
              <w:spacing w:after="0"/>
              <w:ind w:firstLine="0"/>
              <w:jc w:val="left"/>
            </w:pPr>
            <w:r>
              <w:rPr>
                <w:rFonts w:ascii="Times New Roman" w:hAnsi="Times New Roman" w:eastAsia="Times New Roman"/>
                <w:sz w:val="14"/>
              </w:rPr>
              <w:t>F1 phish</w:t>
            </w:r>
          </w:p>
        </w:tc>
        <w:tc>
          <w:tcPr>
            <w:tcW w:type="dxa" w:w="1559"/>
            <w:vAlign w:val="center"/>
          </w:tcPr>
          <w:p>
            <w:pPr>
              <w:spacing w:after="0"/>
              <w:ind w:firstLine="0"/>
              <w:jc w:val="center"/>
            </w:pPr>
            <w:r>
              <w:rPr>
                <w:rFonts w:ascii="Times New Roman" w:hAnsi="Times New Roman" w:eastAsia="Times New Roman"/>
                <w:sz w:val="14"/>
              </w:rPr>
              <w:t>LightGBM</w:t>
            </w:r>
          </w:p>
        </w:tc>
        <w:tc>
          <w:tcPr>
            <w:tcW w:type="dxa" w:w="1559"/>
            <w:vAlign w:val="center"/>
          </w:tcPr>
          <w:p>
            <w:pPr>
              <w:spacing w:after="0"/>
              <w:ind w:firstLine="0"/>
              <w:jc w:val="center"/>
            </w:pPr>
            <w:r>
              <w:rPr>
                <w:rFonts w:ascii="Times New Roman" w:hAnsi="Times New Roman" w:eastAsia="Times New Roman"/>
                <w:sz w:val="14"/>
              </w:rPr>
              <w:t>−0,000980</w:t>
            </w:r>
          </w:p>
        </w:tc>
        <w:tc>
          <w:tcPr>
            <w:tcW w:type="dxa" w:w="1559"/>
            <w:vAlign w:val="center"/>
          </w:tcPr>
          <w:p>
            <w:pPr>
              <w:spacing w:after="0"/>
              <w:ind w:firstLine="0"/>
              <w:jc w:val="center"/>
            </w:pPr>
            <w:r>
              <w:rPr>
                <w:rFonts w:ascii="Times New Roman" w:hAnsi="Times New Roman" w:eastAsia="Times New Roman"/>
                <w:sz w:val="14"/>
              </w:rPr>
              <w:t>−0,001954</w:t>
            </w:r>
          </w:p>
        </w:tc>
        <w:tc>
          <w:tcPr>
            <w:tcW w:type="dxa" w:w="1559"/>
            <w:vAlign w:val="center"/>
          </w:tcPr>
          <w:p>
            <w:pPr>
              <w:spacing w:after="0"/>
              <w:ind w:firstLine="0"/>
              <w:jc w:val="center"/>
            </w:pPr>
            <w:r>
              <w:rPr>
                <w:rFonts w:ascii="Times New Roman" w:hAnsi="Times New Roman" w:eastAsia="Times New Roman"/>
                <w:sz w:val="14"/>
              </w:rPr>
              <w:t>−0,000318</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F1 phish</w:t>
            </w:r>
          </w:p>
        </w:tc>
        <w:tc>
          <w:tcPr>
            <w:tcW w:type="dxa" w:w="1559"/>
            <w:vAlign w:val="center"/>
          </w:tcPr>
          <w:p>
            <w:pPr>
              <w:spacing w:after="0"/>
              <w:ind w:firstLine="0"/>
              <w:jc w:val="center"/>
            </w:pPr>
            <w:r>
              <w:rPr>
                <w:rFonts w:ascii="Times New Roman" w:hAnsi="Times New Roman" w:eastAsia="Times New Roman"/>
                <w:sz w:val="14"/>
              </w:rPr>
              <w:t>XGBoost</w:t>
            </w:r>
          </w:p>
        </w:tc>
        <w:tc>
          <w:tcPr>
            <w:tcW w:type="dxa" w:w="1559"/>
            <w:vAlign w:val="center"/>
          </w:tcPr>
          <w:p>
            <w:pPr>
              <w:spacing w:after="0"/>
              <w:ind w:firstLine="0"/>
              <w:jc w:val="center"/>
            </w:pPr>
            <w:r>
              <w:rPr>
                <w:rFonts w:ascii="Times New Roman" w:hAnsi="Times New Roman" w:eastAsia="Times New Roman"/>
                <w:sz w:val="14"/>
              </w:rPr>
              <w:t>−0,001182</w:t>
            </w:r>
          </w:p>
        </w:tc>
        <w:tc>
          <w:tcPr>
            <w:tcW w:type="dxa" w:w="1559"/>
            <w:vAlign w:val="center"/>
          </w:tcPr>
          <w:p>
            <w:pPr>
              <w:spacing w:after="0"/>
              <w:ind w:firstLine="0"/>
              <w:jc w:val="center"/>
            </w:pPr>
            <w:r>
              <w:rPr>
                <w:rFonts w:ascii="Times New Roman" w:hAnsi="Times New Roman" w:eastAsia="Times New Roman"/>
                <w:sz w:val="14"/>
              </w:rPr>
              <w:t>−0,002225</w:t>
            </w:r>
          </w:p>
        </w:tc>
        <w:tc>
          <w:tcPr>
            <w:tcW w:type="dxa" w:w="1559"/>
            <w:vAlign w:val="center"/>
          </w:tcPr>
          <w:p>
            <w:pPr>
              <w:spacing w:after="0"/>
              <w:ind w:firstLine="0"/>
              <w:jc w:val="center"/>
            </w:pPr>
            <w:r>
              <w:rPr>
                <w:rFonts w:ascii="Times New Roman" w:hAnsi="Times New Roman" w:eastAsia="Times New Roman"/>
                <w:sz w:val="14"/>
              </w:rPr>
              <w:t>−0,000440</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Recall phish</w:t>
            </w:r>
          </w:p>
        </w:tc>
        <w:tc>
          <w:tcPr>
            <w:tcW w:type="dxa" w:w="1559"/>
            <w:vAlign w:val="center"/>
          </w:tcPr>
          <w:p>
            <w:pPr>
              <w:spacing w:after="0"/>
              <w:ind w:firstLine="0"/>
              <w:jc w:val="center"/>
            </w:pPr>
            <w:r>
              <w:rPr>
                <w:rFonts w:ascii="Times New Roman" w:hAnsi="Times New Roman" w:eastAsia="Times New Roman"/>
                <w:sz w:val="14"/>
              </w:rPr>
              <w:t>LightGBM</w:t>
            </w:r>
          </w:p>
        </w:tc>
        <w:tc>
          <w:tcPr>
            <w:tcW w:type="dxa" w:w="1559"/>
            <w:vAlign w:val="center"/>
          </w:tcPr>
          <w:p>
            <w:pPr>
              <w:spacing w:after="0"/>
              <w:ind w:firstLine="0"/>
              <w:jc w:val="center"/>
            </w:pPr>
            <w:r>
              <w:rPr>
                <w:rFonts w:ascii="Times New Roman" w:hAnsi="Times New Roman" w:eastAsia="Times New Roman"/>
                <w:sz w:val="14"/>
              </w:rPr>
              <w:t>−0,001728</w:t>
            </w:r>
          </w:p>
        </w:tc>
        <w:tc>
          <w:tcPr>
            <w:tcW w:type="dxa" w:w="1559"/>
            <w:vAlign w:val="center"/>
          </w:tcPr>
          <w:p>
            <w:pPr>
              <w:spacing w:after="0"/>
              <w:ind w:firstLine="0"/>
              <w:jc w:val="center"/>
            </w:pPr>
            <w:r>
              <w:rPr>
                <w:rFonts w:ascii="Times New Roman" w:hAnsi="Times New Roman" w:eastAsia="Times New Roman"/>
                <w:sz w:val="14"/>
              </w:rPr>
              <w:t>−0,003721</w:t>
            </w:r>
          </w:p>
        </w:tc>
        <w:tc>
          <w:tcPr>
            <w:tcW w:type="dxa" w:w="1559"/>
            <w:vAlign w:val="center"/>
          </w:tcPr>
          <w:p>
            <w:pPr>
              <w:spacing w:after="0"/>
              <w:ind w:firstLine="0"/>
              <w:jc w:val="center"/>
            </w:pPr>
            <w:r>
              <w:rPr>
                <w:rFonts w:ascii="Times New Roman" w:hAnsi="Times New Roman" w:eastAsia="Times New Roman"/>
                <w:sz w:val="14"/>
              </w:rPr>
              <w:t>−0,000479</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Recall phish</w:t>
            </w:r>
          </w:p>
        </w:tc>
        <w:tc>
          <w:tcPr>
            <w:tcW w:type="dxa" w:w="1559"/>
            <w:vAlign w:val="center"/>
          </w:tcPr>
          <w:p>
            <w:pPr>
              <w:spacing w:after="0"/>
              <w:ind w:firstLine="0"/>
              <w:jc w:val="center"/>
            </w:pPr>
            <w:r>
              <w:rPr>
                <w:rFonts w:ascii="Times New Roman" w:hAnsi="Times New Roman" w:eastAsia="Times New Roman"/>
                <w:sz w:val="14"/>
              </w:rPr>
              <w:t>XGBoost</w:t>
            </w:r>
          </w:p>
        </w:tc>
        <w:tc>
          <w:tcPr>
            <w:tcW w:type="dxa" w:w="1559"/>
            <w:vAlign w:val="center"/>
          </w:tcPr>
          <w:p>
            <w:pPr>
              <w:spacing w:after="0"/>
              <w:ind w:firstLine="0"/>
              <w:jc w:val="center"/>
            </w:pPr>
            <w:r>
              <w:rPr>
                <w:rFonts w:ascii="Times New Roman" w:hAnsi="Times New Roman" w:eastAsia="Times New Roman"/>
                <w:sz w:val="14"/>
              </w:rPr>
              <w:t>−0,001728</w:t>
            </w:r>
          </w:p>
        </w:tc>
        <w:tc>
          <w:tcPr>
            <w:tcW w:type="dxa" w:w="1559"/>
            <w:vAlign w:val="center"/>
          </w:tcPr>
          <w:p>
            <w:pPr>
              <w:spacing w:after="0"/>
              <w:ind w:firstLine="0"/>
              <w:jc w:val="center"/>
            </w:pPr>
            <w:r>
              <w:rPr>
                <w:rFonts w:ascii="Times New Roman" w:hAnsi="Times New Roman" w:eastAsia="Times New Roman"/>
                <w:sz w:val="14"/>
              </w:rPr>
              <w:t>−0,003811</w:t>
            </w:r>
          </w:p>
        </w:tc>
        <w:tc>
          <w:tcPr>
            <w:tcW w:type="dxa" w:w="1559"/>
            <w:vAlign w:val="center"/>
          </w:tcPr>
          <w:p>
            <w:pPr>
              <w:spacing w:after="0"/>
              <w:ind w:firstLine="0"/>
              <w:jc w:val="center"/>
            </w:pPr>
            <w:r>
              <w:rPr>
                <w:rFonts w:ascii="Times New Roman" w:hAnsi="Times New Roman" w:eastAsia="Times New Roman"/>
                <w:sz w:val="14"/>
              </w:rPr>
              <w:t>−0,000406</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FPR benign</w:t>
            </w:r>
          </w:p>
        </w:tc>
        <w:tc>
          <w:tcPr>
            <w:tcW w:type="dxa" w:w="1559"/>
            <w:vAlign w:val="center"/>
          </w:tcPr>
          <w:p>
            <w:pPr>
              <w:spacing w:after="0"/>
              <w:ind w:firstLine="0"/>
              <w:jc w:val="center"/>
            </w:pPr>
            <w:r>
              <w:rPr>
                <w:rFonts w:ascii="Times New Roman" w:hAnsi="Times New Roman" w:eastAsia="Times New Roman"/>
                <w:sz w:val="14"/>
              </w:rPr>
              <w:t>LightGBM</w:t>
            </w:r>
          </w:p>
        </w:tc>
        <w:tc>
          <w:tcPr>
            <w:tcW w:type="dxa" w:w="1559"/>
            <w:vAlign w:val="center"/>
          </w:tcPr>
          <w:p>
            <w:pPr>
              <w:spacing w:after="0"/>
              <w:ind w:firstLine="0"/>
              <w:jc w:val="center"/>
            </w:pPr>
            <w:r>
              <w:rPr>
                <w:rFonts w:ascii="Times New Roman" w:hAnsi="Times New Roman" w:eastAsia="Times New Roman"/>
                <w:sz w:val="14"/>
              </w:rPr>
              <w:t>+0,000149</w:t>
            </w:r>
          </w:p>
        </w:tc>
        <w:tc>
          <w:tcPr>
            <w:tcW w:type="dxa" w:w="1559"/>
            <w:vAlign w:val="center"/>
          </w:tcPr>
          <w:p>
            <w:pPr>
              <w:spacing w:after="0"/>
              <w:ind w:firstLine="0"/>
              <w:jc w:val="center"/>
            </w:pPr>
            <w:r>
              <w:rPr>
                <w:rFonts w:ascii="Times New Roman" w:hAnsi="Times New Roman" w:eastAsia="Times New Roman"/>
                <w:sz w:val="14"/>
              </w:rPr>
              <w:t>−0,0000375</w:t>
            </w:r>
          </w:p>
        </w:tc>
        <w:tc>
          <w:tcPr>
            <w:tcW w:type="dxa" w:w="1559"/>
            <w:vAlign w:val="center"/>
          </w:tcPr>
          <w:p>
            <w:pPr>
              <w:spacing w:after="0"/>
              <w:ind w:firstLine="0"/>
              <w:jc w:val="center"/>
            </w:pPr>
            <w:r>
              <w:rPr>
                <w:rFonts w:ascii="Times New Roman" w:hAnsi="Times New Roman" w:eastAsia="Times New Roman"/>
                <w:sz w:val="14"/>
              </w:rPr>
              <w:t>+0,000369</w:t>
            </w:r>
          </w:p>
        </w:tc>
        <w:tc>
          <w:tcPr>
            <w:tcW w:type="dxa" w:w="1559"/>
            <w:vAlign w:val="center"/>
          </w:tcPr>
          <w:p>
            <w:pPr>
              <w:spacing w:after="0"/>
              <w:ind w:firstLine="0"/>
              <w:jc w:val="center"/>
            </w:pPr>
            <w:r>
              <w:rPr>
                <w:rFonts w:ascii="Times New Roman" w:hAnsi="Times New Roman" w:eastAsia="Times New Roman"/>
                <w:sz w:val="14"/>
              </w:rPr>
              <w:t>Ya</w:t>
            </w:r>
          </w:p>
        </w:tc>
      </w:tr>
      <w:tr>
        <w:trPr>
          <w:cantSplit/>
        </w:trPr>
        <w:tc>
          <w:tcPr>
            <w:tcW w:type="dxa" w:w="1559"/>
            <w:vAlign w:val="center"/>
          </w:tcPr>
          <w:p>
            <w:pPr>
              <w:spacing w:after="0"/>
              <w:ind w:firstLine="0"/>
              <w:jc w:val="left"/>
            </w:pPr>
            <w:r>
              <w:rPr>
                <w:rFonts w:ascii="Times New Roman" w:hAnsi="Times New Roman" w:eastAsia="Times New Roman"/>
                <w:sz w:val="14"/>
              </w:rPr>
              <w:t>FPR benign</w:t>
            </w:r>
          </w:p>
        </w:tc>
        <w:tc>
          <w:tcPr>
            <w:tcW w:type="dxa" w:w="1559"/>
            <w:vAlign w:val="center"/>
          </w:tcPr>
          <w:p>
            <w:pPr>
              <w:spacing w:after="0"/>
              <w:ind w:firstLine="0"/>
              <w:jc w:val="center"/>
            </w:pPr>
            <w:r>
              <w:rPr>
                <w:rFonts w:ascii="Times New Roman" w:hAnsi="Times New Roman" w:eastAsia="Times New Roman"/>
                <w:sz w:val="14"/>
              </w:rPr>
              <w:t>XGBoost</w:t>
            </w:r>
          </w:p>
        </w:tc>
        <w:tc>
          <w:tcPr>
            <w:tcW w:type="dxa" w:w="1559"/>
            <w:vAlign w:val="center"/>
          </w:tcPr>
          <w:p>
            <w:pPr>
              <w:spacing w:after="0"/>
              <w:ind w:firstLine="0"/>
              <w:jc w:val="center"/>
            </w:pPr>
            <w:r>
              <w:rPr>
                <w:rFonts w:ascii="Times New Roman" w:hAnsi="Times New Roman" w:eastAsia="Times New Roman"/>
                <w:sz w:val="14"/>
              </w:rPr>
              <w:t>+0,000410</w:t>
            </w:r>
          </w:p>
        </w:tc>
        <w:tc>
          <w:tcPr>
            <w:tcW w:type="dxa" w:w="1559"/>
            <w:vAlign w:val="center"/>
          </w:tcPr>
          <w:p>
            <w:pPr>
              <w:spacing w:after="0"/>
              <w:ind w:firstLine="0"/>
              <w:jc w:val="center"/>
            </w:pPr>
            <w:r>
              <w:rPr>
                <w:rFonts w:ascii="Times New Roman" w:hAnsi="Times New Roman" w:eastAsia="Times New Roman"/>
                <w:sz w:val="14"/>
              </w:rPr>
              <w:t>+0,000149</w:t>
            </w:r>
          </w:p>
        </w:tc>
        <w:tc>
          <w:tcPr>
            <w:tcW w:type="dxa" w:w="1559"/>
            <w:vAlign w:val="center"/>
          </w:tcPr>
          <w:p>
            <w:pPr>
              <w:spacing w:after="0"/>
              <w:ind w:firstLine="0"/>
              <w:jc w:val="center"/>
            </w:pPr>
            <w:r>
              <w:rPr>
                <w:rFonts w:ascii="Times New Roman" w:hAnsi="Times New Roman" w:eastAsia="Times New Roman"/>
                <w:sz w:val="14"/>
              </w:rPr>
              <w:t>+0,000709</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MCC</w:t>
            </w:r>
          </w:p>
        </w:tc>
        <w:tc>
          <w:tcPr>
            <w:tcW w:type="dxa" w:w="1559"/>
            <w:vAlign w:val="center"/>
          </w:tcPr>
          <w:p>
            <w:pPr>
              <w:spacing w:after="0"/>
              <w:ind w:firstLine="0"/>
              <w:jc w:val="center"/>
            </w:pPr>
            <w:r>
              <w:rPr>
                <w:rFonts w:ascii="Times New Roman" w:hAnsi="Times New Roman" w:eastAsia="Times New Roman"/>
                <w:sz w:val="14"/>
              </w:rPr>
              <w:t>LightGBM</w:t>
            </w:r>
          </w:p>
        </w:tc>
        <w:tc>
          <w:tcPr>
            <w:tcW w:type="dxa" w:w="1559"/>
            <w:vAlign w:val="center"/>
          </w:tcPr>
          <w:p>
            <w:pPr>
              <w:spacing w:after="0"/>
              <w:ind w:firstLine="0"/>
              <w:jc w:val="center"/>
            </w:pPr>
            <w:r>
              <w:rPr>
                <w:rFonts w:ascii="Times New Roman" w:hAnsi="Times New Roman" w:eastAsia="Times New Roman"/>
                <w:sz w:val="14"/>
              </w:rPr>
              <w:t>−0,001612</w:t>
            </w:r>
          </w:p>
        </w:tc>
        <w:tc>
          <w:tcPr>
            <w:tcW w:type="dxa" w:w="1559"/>
            <w:vAlign w:val="center"/>
          </w:tcPr>
          <w:p>
            <w:pPr>
              <w:spacing w:after="0"/>
              <w:ind w:firstLine="0"/>
              <w:jc w:val="center"/>
            </w:pPr>
            <w:r>
              <w:rPr>
                <w:rFonts w:ascii="Times New Roman" w:hAnsi="Times New Roman" w:eastAsia="Times New Roman"/>
                <w:sz w:val="14"/>
              </w:rPr>
              <w:t>−0,003243</w:t>
            </w:r>
          </w:p>
        </w:tc>
        <w:tc>
          <w:tcPr>
            <w:tcW w:type="dxa" w:w="1559"/>
            <w:vAlign w:val="center"/>
          </w:tcPr>
          <w:p>
            <w:pPr>
              <w:spacing w:after="0"/>
              <w:ind w:firstLine="0"/>
              <w:jc w:val="center"/>
            </w:pPr>
            <w:r>
              <w:rPr>
                <w:rFonts w:ascii="Times New Roman" w:hAnsi="Times New Roman" w:eastAsia="Times New Roman"/>
                <w:sz w:val="14"/>
              </w:rPr>
              <w:t>−0,000523</w:t>
            </w:r>
          </w:p>
        </w:tc>
        <w:tc>
          <w:tcPr>
            <w:tcW w:type="dxa" w:w="1559"/>
            <w:vAlign w:val="center"/>
          </w:tcPr>
          <w:p>
            <w:pPr>
              <w:spacing w:after="0"/>
              <w:ind w:firstLine="0"/>
              <w:jc w:val="center"/>
            </w:pPr>
            <w:r>
              <w:rPr>
                <w:rFonts w:ascii="Times New Roman" w:hAnsi="Times New Roman" w:eastAsia="Times New Roman"/>
                <w:sz w:val="14"/>
              </w:rPr>
              <w:t>Tidak</w:t>
            </w:r>
          </w:p>
        </w:tc>
      </w:tr>
      <w:tr>
        <w:trPr>
          <w:cantSplit/>
        </w:trPr>
        <w:tc>
          <w:tcPr>
            <w:tcW w:type="dxa" w:w="1559"/>
            <w:vAlign w:val="center"/>
          </w:tcPr>
          <w:p>
            <w:pPr>
              <w:spacing w:after="0"/>
              <w:ind w:firstLine="0"/>
              <w:jc w:val="left"/>
            </w:pPr>
            <w:r>
              <w:rPr>
                <w:rFonts w:ascii="Times New Roman" w:hAnsi="Times New Roman" w:eastAsia="Times New Roman"/>
                <w:sz w:val="14"/>
              </w:rPr>
              <w:t>MCC</w:t>
            </w:r>
          </w:p>
        </w:tc>
        <w:tc>
          <w:tcPr>
            <w:tcW w:type="dxa" w:w="1559"/>
            <w:vAlign w:val="center"/>
          </w:tcPr>
          <w:p>
            <w:pPr>
              <w:spacing w:after="0"/>
              <w:ind w:firstLine="0"/>
              <w:jc w:val="center"/>
            </w:pPr>
            <w:r>
              <w:rPr>
                <w:rFonts w:ascii="Times New Roman" w:hAnsi="Times New Roman" w:eastAsia="Times New Roman"/>
                <w:sz w:val="14"/>
              </w:rPr>
              <w:t>XGBoost</w:t>
            </w:r>
          </w:p>
        </w:tc>
        <w:tc>
          <w:tcPr>
            <w:tcW w:type="dxa" w:w="1559"/>
            <w:vAlign w:val="center"/>
          </w:tcPr>
          <w:p>
            <w:pPr>
              <w:spacing w:after="0"/>
              <w:ind w:firstLine="0"/>
              <w:jc w:val="center"/>
            </w:pPr>
            <w:r>
              <w:rPr>
                <w:rFonts w:ascii="Times New Roman" w:hAnsi="Times New Roman" w:eastAsia="Times New Roman"/>
                <w:sz w:val="14"/>
              </w:rPr>
              <w:t>−0,001944</w:t>
            </w:r>
          </w:p>
        </w:tc>
        <w:tc>
          <w:tcPr>
            <w:tcW w:type="dxa" w:w="1559"/>
            <w:vAlign w:val="center"/>
          </w:tcPr>
          <w:p>
            <w:pPr>
              <w:spacing w:after="0"/>
              <w:ind w:firstLine="0"/>
              <w:jc w:val="center"/>
            </w:pPr>
            <w:r>
              <w:rPr>
                <w:rFonts w:ascii="Times New Roman" w:hAnsi="Times New Roman" w:eastAsia="Times New Roman"/>
                <w:sz w:val="14"/>
              </w:rPr>
              <w:t>−0,003743</w:t>
            </w:r>
          </w:p>
        </w:tc>
        <w:tc>
          <w:tcPr>
            <w:tcW w:type="dxa" w:w="1559"/>
            <w:vAlign w:val="center"/>
          </w:tcPr>
          <w:p>
            <w:pPr>
              <w:spacing w:after="0"/>
              <w:ind w:firstLine="0"/>
              <w:jc w:val="center"/>
            </w:pPr>
            <w:r>
              <w:rPr>
                <w:rFonts w:ascii="Times New Roman" w:hAnsi="Times New Roman" w:eastAsia="Times New Roman"/>
                <w:sz w:val="14"/>
              </w:rPr>
              <w:t>−0,000711</w:t>
            </w:r>
          </w:p>
        </w:tc>
        <w:tc>
          <w:tcPr>
            <w:tcW w:type="dxa" w:w="1559"/>
            <w:vAlign w:val="center"/>
          </w:tcPr>
          <w:p>
            <w:pPr>
              <w:spacing w:after="0"/>
              <w:ind w:firstLine="0"/>
              <w:jc w:val="center"/>
            </w:pPr>
            <w:r>
              <w:rPr>
                <w:rFonts w:ascii="Times New Roman" w:hAnsi="Times New Roman" w:eastAsia="Times New Roman"/>
                <w:sz w:val="14"/>
              </w:rPr>
              <w:t>Tidak</w:t>
            </w:r>
          </w:p>
        </w:tc>
      </w:tr>
    </w:tbl>
    <w:p>
      <w:pPr>
        <w:spacing w:after="20"/>
        <w:ind w:firstLine="0"/>
      </w:pPr>
    </w:p>
    <w:p>
      <w:pPr>
        <w:spacing w:after="60"/>
        <w:ind w:firstLine="283"/>
        <w:jc w:val="both"/>
      </w:pPr>
      <w:r>
        <w:rPr>
          <w:rFonts w:ascii="Times New Roman" w:hAnsi="Times New Roman" w:eastAsia="Times New Roman"/>
          <w:sz w:val="19"/>
        </w:rPr>
        <w:t>Penghapusan enam fitur konten menurunkan F1 secara terukur, dan interval bootstrap F1 berpasangan untuk LightGBM maupun XGBoost tidak memuat nol; besar efeknya sekitar seperseribu F1. Pada rata-rata partisi uji 44.213,6 baris, jumlah kesalahan A0→A1 meningkat dari 12,8 menjadi 32,2 pada LightGBM dan dari 10,4 menjadi 39,0 pada XGBoost. Ini menggambarkan perbedaan antara keterdeteksian statistik dan besar efek. Skor A0 mendekati satu pada benchmark ini, tetapi perbandingan kelompok berpasangan tersebut tidak mengidentifikasi penyebab saturasi. Konsekuensi deployment tidak dapat disimpulkan tanpa prevalensi, biaya kesalahan, dan pemilihan ambang yang relevan.</w:t>
      </w:r>
    </w:p>
    <w:p>
      <w:pPr>
        <w:spacing w:after="60"/>
        <w:ind w:firstLine="283"/>
        <w:jc w:val="both"/>
      </w:pPr>
      <w:r>
        <w:rPr>
          <w:rFonts w:ascii="Times New Roman" w:hAnsi="Times New Roman" w:eastAsia="Times New Roman"/>
          <w:sz w:val="19"/>
        </w:rPr>
        <w:t>Perlu ditegaskan bahwa rancangan ini menguji kelompok fitur. Enam fitur dihapus bersamaan, sehingga tidak ada identifikasi fitur mana di dalam kelompok yang bertanggung jawab. Klaim yang sah adalah "A1 memiliki F1 sekitar 0,001 lebih rendah daripada A0 pada protokol site-disjoint"; rancangan ini tidak menetapkan kontribusi kausal tiap fitur maupun kelompok fitur. Untuk mengidentifikasi kontribusi per fitur diperlukan desain leave-one-feature-out terpisah, yang tidak dijalankan di sini.</w:t>
      </w:r>
      <w:r>
        <w:rPr>
          <w:rFonts w:ascii="Times New Roman" w:hAnsi="Times New Roman" w:eastAsia="Times New Roman"/>
          <w:sz w:val="19"/>
        </w:rPr>
        <w:t xml:space="preserve"> Selisih rerata A1−A0 lintas lima seed pada Tabel 4 untuk F1 adalah −0,000567, sedangkan selisih berpasangan model seed 42 pada Tabel 5 adalah −0,000980; keduanya sah untuk estimandnya masing-masing dan tidak saling menggantikan.</w:t>
      </w:r>
    </w:p>
    <w:p>
      <w:pPr>
        <w:spacing w:after="60"/>
        <w:ind w:firstLine="283"/>
        <w:jc w:val="both"/>
      </w:pPr>
      <w:r>
        <w:rPr>
          <w:rFonts w:ascii="Times New Roman" w:hAnsi="Times New Roman" w:eastAsia="Times New Roman"/>
          <w:sz w:val="19"/>
        </w:rPr>
        <w:t xml:space="preserve">A2 menggunakan ekstraktor URL mentah bersama dengan kontrak terurut 18 fitur, sedangkan A0 menggunakan nilai sumber terhitung sebelumnya. Audit langsung menemukan kesesuaian nilai yang rendah untuk beberapa fitur bernama serupa; definisi dan sumber nilainya dapat berbeda. Selisih F1 0,004436 untuk LightGBM </w:t>
      </w:r>
      <w:r>
        <w:rPr>
          <w:rFonts w:ascii="Times New Roman" w:hAnsi="Times New Roman" w:eastAsia="Times New Roman"/>
          <w:i/>
          <w:sz w:val="19"/>
        </w:rPr>
        <w:t>site-disjoint</w:t>
      </w:r>
      <w:r>
        <w:rPr>
          <w:rFonts w:ascii="Times New Roman" w:hAnsi="Times New Roman" w:eastAsia="Times New Roman"/>
          <w:sz w:val="19"/>
        </w:rPr>
        <w:t xml:space="preserve"> karena itu merupakan </w:t>
      </w:r>
      <w:r>
        <w:rPr>
          <w:rFonts w:ascii="Times New Roman" w:hAnsi="Times New Roman" w:eastAsia="Times New Roman"/>
          <w:b/>
          <w:sz w:val="19"/>
        </w:rPr>
        <w:t>kontras representasi</w:t>
      </w:r>
      <w:r>
        <w:rPr>
          <w:rFonts w:ascii="Times New Roman" w:hAnsi="Times New Roman" w:eastAsia="Times New Roman"/>
          <w:sz w:val="19"/>
        </w:rPr>
        <w:t xml:space="preserve"> deskriptif, bukan efek kausal penghapusan 29 fitur. Perbandingan ini tidak memiliki interval bootstrap berpasangan dalam rancangan A1−A0.</w:t>
      </w:r>
      <w:r>
        <w:rPr>
          <w:rFonts w:ascii="Times New Roman" w:hAnsi="Times New Roman" w:eastAsia="Times New Roman"/>
          <w:sz w:val="19"/>
        </w:rPr>
        <w:t xml:space="preserve"> Angka 0,004436 dihitung dari nilai F1 tak-terbulatkan; selisih nilai terbulatkan yang ditampilkan pada Tabel 4 adalah 0,004437.</w:t>
      </w:r>
    </w:p>
    <w:p>
      <w:pPr>
        <w:pStyle w:val="Heading2"/>
        <w:ind w:firstLine="0"/>
        <w:jc w:val="left"/>
      </w:pPr>
      <w:r>
        <w:rPr>
          <w:rFonts w:ascii="Times New Roman" w:hAnsi="Times New Roman" w:eastAsia="Times New Roman"/>
          <w:sz w:val="20"/>
        </w:rPr>
        <w:t>3.5 Evaluasi Temporal pada PhreshPhish</w:t>
      </w:r>
    </w:p>
    <w:p>
      <w:pPr>
        <w:spacing w:after="60"/>
        <w:ind w:firstLine="283"/>
        <w:jc w:val="both"/>
      </w:pPr>
      <w:r>
        <w:rPr>
          <w:rFonts w:ascii="Times New Roman" w:hAnsi="Times New Roman" w:eastAsia="Times New Roman"/>
          <w:sz w:val="19"/>
        </w:rPr>
        <w:t>Evaluasi temporal menggunakan konfigurasi A2 karena konfigurasi itu dapat dihitung dari URL mentah PhreshPhish. Model dilatih pada periode lebih awal dan diuji pada periode lebih akhir yang berisi 168.035 baris (91.259 legitim dan 76.776 phishing; prevalensi phishing 0,456905). Kohort uji ini telah diperiksa dalam pekerjaan eksploratif sebelumnya.</w:t>
      </w:r>
    </w:p>
    <w:p>
      <w:pPr>
        <w:keepNext/>
        <w:spacing w:after="60"/>
        <w:ind w:firstLine="0"/>
        <w:jc w:val="center"/>
      </w:pPr>
      <w:r>
        <w:rPr>
          <w:rFonts w:ascii="Times New Roman" w:hAnsi="Times New Roman" w:eastAsia="Times New Roman"/>
          <w:b/>
          <w:sz w:val="17"/>
        </w:rPr>
        <w:t>Tabel 6.</w:t>
      </w:r>
      <w:r>
        <w:rPr>
          <w:rFonts w:ascii="Times New Roman" w:hAnsi="Times New Roman" w:eastAsia="Times New Roman"/>
          <w:sz w:val="17"/>
        </w:rPr>
        <w:t xml:space="preserve"> Kinerja temporal A2/LightGBM pada PhreshPhish untuk model seed 13; batas 95 % berasal dari 1.000 replikasi bootstrap pada unit registrable domain dengan RNG seed 42.</w:t>
      </w:r>
      <w:r>
        <w:rPr>
          <w:rFonts w:ascii="Times New Roman" w:hAnsi="Times New Roman" w:eastAsia="Times New Roman"/>
          <w:sz w:val="17"/>
        </w:rPr>
        <w:t xml:space="preserve"> Model dilatih pada seluruh blok pra-cutoff, yaitu periode fit dan validasi (497.359 baris), dengan ambang 0,5. Batas interval diambil dari bootstrap_temporal.csv eksperimen 5; berkas cluster_bootstrap_primary_seed.csv pada folder eksperimen 4 memuat interval berbeda untuk estimasi yang sama dan tidak dipakai di sini.</w:t>
      </w:r>
    </w:p>
    <w:tbl>
      <w:tblPr>
        <w:tblStyle w:val="TableGrid"/>
        <w:tblW w:type="auto" w:w="0"/>
        <w:jc w:val="center"/>
        <w:tblLayout w:type="autofit"/>
        <w:tblLook w:firstColumn="1" w:firstRow="1" w:lastColumn="0" w:lastRow="0" w:noHBand="0" w:noVBand="1" w:val="04A0"/>
      </w:tblPr>
      <w:tblGrid>
        <w:gridCol w:w="2338"/>
        <w:gridCol w:w="2338"/>
        <w:gridCol w:w="2338"/>
        <w:gridCol w:w="2338"/>
      </w:tblGrid>
      <w:tr>
        <w:trPr>
          <w:cantSplit/>
          <w:tblHeader w:val="true"/>
        </w:trPr>
        <w:tc>
          <w:tcPr>
            <w:tcW w:type="dxa" w:w="2338"/>
            <w:vAlign w:val="center"/>
          </w:tcPr>
          <w:p>
            <w:pPr>
              <w:spacing w:after="0"/>
              <w:ind w:firstLine="0"/>
              <w:jc w:val="center"/>
            </w:pPr>
            <w:r>
              <w:rPr>
                <w:rFonts w:ascii="Times New Roman" w:hAnsi="Times New Roman" w:eastAsia="Times New Roman"/>
                <w:b/>
                <w:sz w:val="14"/>
              </w:rPr>
              <w:t>Metrik</w:t>
            </w:r>
          </w:p>
        </w:tc>
        <w:tc>
          <w:tcPr>
            <w:tcW w:type="dxa" w:w="2338"/>
            <w:vAlign w:val="center"/>
          </w:tcPr>
          <w:p>
            <w:pPr>
              <w:spacing w:after="0"/>
              <w:ind w:firstLine="0"/>
              <w:jc w:val="center"/>
            </w:pPr>
            <w:r>
              <w:rPr>
                <w:rFonts w:ascii="Times New Roman" w:hAnsi="Times New Roman" w:eastAsia="Times New Roman"/>
                <w:b/>
                <w:sz w:val="14"/>
              </w:rPr>
              <w:t>Estimasi</w:t>
            </w:r>
          </w:p>
        </w:tc>
        <w:tc>
          <w:tcPr>
            <w:tcW w:type="dxa" w:w="2338"/>
            <w:vAlign w:val="center"/>
          </w:tcPr>
          <w:p>
            <w:pPr>
              <w:spacing w:after="0"/>
              <w:ind w:firstLine="0"/>
              <w:jc w:val="center"/>
            </w:pPr>
            <w:r>
              <w:rPr>
                <w:rFonts w:ascii="Times New Roman" w:hAnsi="Times New Roman" w:eastAsia="Times New Roman"/>
                <w:b/>
                <w:sz w:val="14"/>
              </w:rPr>
              <w:t>IK 95 % bawah</w:t>
            </w:r>
          </w:p>
        </w:tc>
        <w:tc>
          <w:tcPr>
            <w:tcW w:type="dxa" w:w="2338"/>
            <w:vAlign w:val="center"/>
          </w:tcPr>
          <w:p>
            <w:pPr>
              <w:spacing w:after="0"/>
              <w:ind w:firstLine="0"/>
              <w:jc w:val="center"/>
            </w:pPr>
            <w:r>
              <w:rPr>
                <w:rFonts w:ascii="Times New Roman" w:hAnsi="Times New Roman" w:eastAsia="Times New Roman"/>
                <w:b/>
                <w:sz w:val="14"/>
              </w:rPr>
              <w:t>IK 95 % atas</w:t>
            </w:r>
          </w:p>
        </w:tc>
      </w:tr>
      <w:tr>
        <w:trPr>
          <w:cantSplit/>
        </w:trPr>
        <w:tc>
          <w:tcPr>
            <w:tcW w:type="dxa" w:w="2338"/>
            <w:vAlign w:val="center"/>
          </w:tcPr>
          <w:p>
            <w:pPr>
              <w:spacing w:after="0"/>
              <w:ind w:firstLine="0"/>
              <w:jc w:val="left"/>
            </w:pPr>
            <w:r>
              <w:rPr>
                <w:rFonts w:ascii="Times New Roman" w:hAnsi="Times New Roman" w:eastAsia="Times New Roman"/>
                <w:sz w:val="14"/>
              </w:rPr>
              <w:t>F1 phish</w:t>
            </w:r>
          </w:p>
        </w:tc>
        <w:tc>
          <w:tcPr>
            <w:tcW w:type="dxa" w:w="2338"/>
            <w:vAlign w:val="center"/>
          </w:tcPr>
          <w:p>
            <w:pPr>
              <w:spacing w:after="0"/>
              <w:ind w:firstLine="0"/>
              <w:jc w:val="center"/>
            </w:pPr>
            <w:r>
              <w:rPr>
                <w:rFonts w:ascii="Times New Roman" w:hAnsi="Times New Roman" w:eastAsia="Times New Roman"/>
                <w:sz w:val="14"/>
              </w:rPr>
              <w:t>0,801768</w:t>
            </w:r>
          </w:p>
        </w:tc>
        <w:tc>
          <w:tcPr>
            <w:tcW w:type="dxa" w:w="2338"/>
            <w:vAlign w:val="center"/>
          </w:tcPr>
          <w:p>
            <w:pPr>
              <w:spacing w:after="0"/>
              <w:ind w:firstLine="0"/>
              <w:jc w:val="center"/>
            </w:pPr>
            <w:r>
              <w:rPr>
                <w:rFonts w:ascii="Times New Roman" w:hAnsi="Times New Roman" w:eastAsia="Times New Roman"/>
                <w:sz w:val="14"/>
              </w:rPr>
              <w:t>0,727697</w:t>
            </w:r>
          </w:p>
        </w:tc>
        <w:tc>
          <w:tcPr>
            <w:tcW w:type="dxa" w:w="2338"/>
            <w:vAlign w:val="center"/>
          </w:tcPr>
          <w:p>
            <w:pPr>
              <w:spacing w:after="0"/>
              <w:ind w:firstLine="0"/>
              <w:jc w:val="center"/>
            </w:pPr>
            <w:r>
              <w:rPr>
                <w:rFonts w:ascii="Times New Roman" w:hAnsi="Times New Roman" w:eastAsia="Times New Roman"/>
                <w:sz w:val="14"/>
              </w:rPr>
              <w:t>0,849621</w:t>
            </w:r>
          </w:p>
        </w:tc>
      </w:tr>
      <w:tr>
        <w:trPr>
          <w:cantSplit/>
        </w:trPr>
        <w:tc>
          <w:tcPr>
            <w:tcW w:type="dxa" w:w="2338"/>
            <w:vAlign w:val="center"/>
          </w:tcPr>
          <w:p>
            <w:pPr>
              <w:spacing w:after="0"/>
              <w:ind w:firstLine="0"/>
              <w:jc w:val="left"/>
            </w:pPr>
            <w:r>
              <w:rPr>
                <w:rFonts w:ascii="Times New Roman" w:hAnsi="Times New Roman" w:eastAsia="Times New Roman"/>
                <w:sz w:val="14"/>
              </w:rPr>
              <w:t>Recall phish</w:t>
            </w:r>
          </w:p>
        </w:tc>
        <w:tc>
          <w:tcPr>
            <w:tcW w:type="dxa" w:w="2338"/>
            <w:vAlign w:val="center"/>
          </w:tcPr>
          <w:p>
            <w:pPr>
              <w:spacing w:after="0"/>
              <w:ind w:firstLine="0"/>
              <w:jc w:val="center"/>
            </w:pPr>
            <w:r>
              <w:rPr>
                <w:rFonts w:ascii="Times New Roman" w:hAnsi="Times New Roman" w:eastAsia="Times New Roman"/>
                <w:sz w:val="14"/>
              </w:rPr>
              <w:t>0,718193</w:t>
            </w:r>
          </w:p>
        </w:tc>
        <w:tc>
          <w:tcPr>
            <w:tcW w:type="dxa" w:w="2338"/>
            <w:vAlign w:val="center"/>
          </w:tcPr>
          <w:p>
            <w:pPr>
              <w:spacing w:after="0"/>
              <w:ind w:firstLine="0"/>
              <w:jc w:val="center"/>
            </w:pPr>
            <w:r>
              <w:rPr>
                <w:rFonts w:ascii="Times New Roman" w:hAnsi="Times New Roman" w:eastAsia="Times New Roman"/>
                <w:sz w:val="14"/>
              </w:rPr>
              <w:t>0,607697</w:t>
            </w:r>
          </w:p>
        </w:tc>
        <w:tc>
          <w:tcPr>
            <w:tcW w:type="dxa" w:w="2338"/>
            <w:vAlign w:val="center"/>
          </w:tcPr>
          <w:p>
            <w:pPr>
              <w:spacing w:after="0"/>
              <w:ind w:firstLine="0"/>
              <w:jc w:val="center"/>
            </w:pPr>
            <w:r>
              <w:rPr>
                <w:rFonts w:ascii="Times New Roman" w:hAnsi="Times New Roman" w:eastAsia="Times New Roman"/>
                <w:sz w:val="14"/>
              </w:rPr>
              <w:t>0,798159</w:t>
            </w:r>
          </w:p>
        </w:tc>
      </w:tr>
      <w:tr>
        <w:trPr>
          <w:cantSplit/>
        </w:trPr>
        <w:tc>
          <w:tcPr>
            <w:tcW w:type="dxa" w:w="2338"/>
            <w:vAlign w:val="center"/>
          </w:tcPr>
          <w:p>
            <w:pPr>
              <w:spacing w:after="0"/>
              <w:ind w:firstLine="0"/>
              <w:jc w:val="left"/>
            </w:pPr>
            <w:r>
              <w:rPr>
                <w:rFonts w:ascii="Times New Roman" w:hAnsi="Times New Roman" w:eastAsia="Times New Roman"/>
                <w:sz w:val="14"/>
              </w:rPr>
              <w:t>Precision phish</w:t>
            </w:r>
          </w:p>
        </w:tc>
        <w:tc>
          <w:tcPr>
            <w:tcW w:type="dxa" w:w="2338"/>
            <w:vAlign w:val="center"/>
          </w:tcPr>
          <w:p>
            <w:pPr>
              <w:spacing w:after="0"/>
              <w:ind w:firstLine="0"/>
              <w:jc w:val="center"/>
            </w:pPr>
            <w:r>
              <w:rPr>
                <w:rFonts w:ascii="Times New Roman" w:hAnsi="Times New Roman" w:eastAsia="Times New Roman"/>
                <w:sz w:val="14"/>
              </w:rPr>
              <w:t>0,907356</w:t>
            </w:r>
          </w:p>
        </w:tc>
        <w:tc>
          <w:tcPr>
            <w:tcW w:type="dxa" w:w="2338"/>
            <w:vAlign w:val="center"/>
          </w:tcPr>
          <w:p>
            <w:pPr>
              <w:spacing w:after="0"/>
              <w:ind w:firstLine="0"/>
              <w:jc w:val="center"/>
            </w:pPr>
            <w:r>
              <w:rPr>
                <w:rFonts w:ascii="Times New Roman" w:hAnsi="Times New Roman" w:eastAsia="Times New Roman"/>
                <w:sz w:val="14"/>
              </w:rPr>
              <w:t>0,895662</w:t>
            </w:r>
          </w:p>
        </w:tc>
        <w:tc>
          <w:tcPr>
            <w:tcW w:type="dxa" w:w="2338"/>
            <w:vAlign w:val="center"/>
          </w:tcPr>
          <w:p>
            <w:pPr>
              <w:spacing w:after="0"/>
              <w:ind w:firstLine="0"/>
              <w:jc w:val="center"/>
            </w:pPr>
            <w:r>
              <w:rPr>
                <w:rFonts w:ascii="Times New Roman" w:hAnsi="Times New Roman" w:eastAsia="Times New Roman"/>
                <w:sz w:val="14"/>
              </w:rPr>
              <w:t>0,917991</w:t>
            </w:r>
          </w:p>
        </w:tc>
      </w:tr>
      <w:tr>
        <w:trPr>
          <w:cantSplit/>
        </w:trPr>
        <w:tc>
          <w:tcPr>
            <w:tcW w:type="dxa" w:w="2338"/>
            <w:vAlign w:val="center"/>
          </w:tcPr>
          <w:p>
            <w:pPr>
              <w:spacing w:after="0"/>
              <w:ind w:firstLine="0"/>
              <w:jc w:val="left"/>
            </w:pPr>
            <w:r>
              <w:rPr>
                <w:rFonts w:ascii="Times New Roman" w:hAnsi="Times New Roman" w:eastAsia="Times New Roman"/>
                <w:sz w:val="14"/>
              </w:rPr>
              <w:t>FPR benign</w:t>
            </w:r>
          </w:p>
        </w:tc>
        <w:tc>
          <w:tcPr>
            <w:tcW w:type="dxa" w:w="2338"/>
            <w:vAlign w:val="center"/>
          </w:tcPr>
          <w:p>
            <w:pPr>
              <w:spacing w:after="0"/>
              <w:ind w:firstLine="0"/>
              <w:jc w:val="center"/>
            </w:pPr>
            <w:r>
              <w:rPr>
                <w:rFonts w:ascii="Times New Roman" w:hAnsi="Times New Roman" w:eastAsia="Times New Roman"/>
                <w:sz w:val="14"/>
              </w:rPr>
              <w:t>0,061693</w:t>
            </w:r>
          </w:p>
        </w:tc>
        <w:tc>
          <w:tcPr>
            <w:tcW w:type="dxa" w:w="2338"/>
            <w:vAlign w:val="center"/>
          </w:tcPr>
          <w:p>
            <w:pPr>
              <w:spacing w:after="0"/>
              <w:ind w:firstLine="0"/>
              <w:jc w:val="center"/>
            </w:pPr>
            <w:r>
              <w:rPr>
                <w:rFonts w:ascii="Times New Roman" w:hAnsi="Times New Roman" w:eastAsia="Times New Roman"/>
                <w:sz w:val="14"/>
              </w:rPr>
              <w:t>0,054558</w:t>
            </w:r>
          </w:p>
        </w:tc>
        <w:tc>
          <w:tcPr>
            <w:tcW w:type="dxa" w:w="2338"/>
            <w:vAlign w:val="center"/>
          </w:tcPr>
          <w:p>
            <w:pPr>
              <w:spacing w:after="0"/>
              <w:ind w:firstLine="0"/>
              <w:jc w:val="center"/>
            </w:pPr>
            <w:r>
              <w:rPr>
                <w:rFonts w:ascii="Times New Roman" w:hAnsi="Times New Roman" w:eastAsia="Times New Roman"/>
                <w:sz w:val="14"/>
              </w:rPr>
              <w:t>0,068601</w:t>
            </w:r>
          </w:p>
        </w:tc>
      </w:tr>
      <w:tr>
        <w:trPr>
          <w:cantSplit/>
        </w:trPr>
        <w:tc>
          <w:tcPr>
            <w:tcW w:type="dxa" w:w="2338"/>
            <w:vAlign w:val="center"/>
          </w:tcPr>
          <w:p>
            <w:pPr>
              <w:spacing w:after="0"/>
              <w:ind w:firstLine="0"/>
              <w:jc w:val="left"/>
            </w:pPr>
            <w:r>
              <w:rPr>
                <w:rFonts w:ascii="Times New Roman" w:hAnsi="Times New Roman" w:eastAsia="Times New Roman"/>
                <w:sz w:val="14"/>
              </w:rPr>
              <w:t>MCC</w:t>
            </w:r>
          </w:p>
        </w:tc>
        <w:tc>
          <w:tcPr>
            <w:tcW w:type="dxa" w:w="2338"/>
            <w:vAlign w:val="center"/>
          </w:tcPr>
          <w:p>
            <w:pPr>
              <w:spacing w:after="0"/>
              <w:ind w:firstLine="0"/>
              <w:jc w:val="center"/>
            </w:pPr>
            <w:r>
              <w:rPr>
                <w:rFonts w:ascii="Times New Roman" w:hAnsi="Times New Roman" w:eastAsia="Times New Roman"/>
                <w:sz w:val="14"/>
              </w:rPr>
              <w:t>0,680632</w:t>
            </w:r>
          </w:p>
        </w:tc>
        <w:tc>
          <w:tcPr>
            <w:tcW w:type="dxa" w:w="2338"/>
            <w:vAlign w:val="center"/>
          </w:tcPr>
          <w:p>
            <w:pPr>
              <w:spacing w:after="0"/>
              <w:ind w:firstLine="0"/>
              <w:jc w:val="center"/>
            </w:pPr>
            <w:r>
              <w:rPr>
                <w:rFonts w:ascii="Times New Roman" w:hAnsi="Times New Roman" w:eastAsia="Times New Roman"/>
                <w:sz w:val="14"/>
              </w:rPr>
              <w:t>0,574178</w:t>
            </w:r>
          </w:p>
        </w:tc>
        <w:tc>
          <w:tcPr>
            <w:tcW w:type="dxa" w:w="2338"/>
            <w:vAlign w:val="center"/>
          </w:tcPr>
          <w:p>
            <w:pPr>
              <w:spacing w:after="0"/>
              <w:ind w:firstLine="0"/>
              <w:jc w:val="center"/>
            </w:pPr>
            <w:r>
              <w:rPr>
                <w:rFonts w:ascii="Times New Roman" w:hAnsi="Times New Roman" w:eastAsia="Times New Roman"/>
                <w:sz w:val="14"/>
              </w:rPr>
              <w:t>0,754352</w:t>
            </w:r>
          </w:p>
        </w:tc>
      </w:tr>
      <w:tr>
        <w:trPr>
          <w:cantSplit/>
        </w:trPr>
        <w:tc>
          <w:tcPr>
            <w:tcW w:type="dxa" w:w="2338"/>
            <w:vAlign w:val="center"/>
          </w:tcPr>
          <w:p>
            <w:pPr>
              <w:spacing w:after="0"/>
              <w:ind w:firstLine="0"/>
              <w:jc w:val="left"/>
            </w:pPr>
            <w:r>
              <w:rPr>
                <w:rFonts w:ascii="Times New Roman" w:hAnsi="Times New Roman" w:eastAsia="Times New Roman"/>
                <w:sz w:val="14"/>
              </w:rPr>
              <w:t>Akurasi</w:t>
            </w:r>
          </w:p>
        </w:tc>
        <w:tc>
          <w:tcPr>
            <w:tcW w:type="dxa" w:w="2338"/>
            <w:vAlign w:val="center"/>
          </w:tcPr>
          <w:p>
            <w:pPr>
              <w:spacing w:after="0"/>
              <w:ind w:firstLine="0"/>
              <w:jc w:val="center"/>
            </w:pPr>
            <w:r>
              <w:rPr>
                <w:rFonts w:ascii="Times New Roman" w:hAnsi="Times New Roman" w:eastAsia="Times New Roman"/>
                <w:sz w:val="14"/>
              </w:rPr>
              <w:t>0,837736</w:t>
            </w:r>
          </w:p>
        </w:tc>
        <w:tc>
          <w:tcPr>
            <w:tcW w:type="dxa" w:w="2338"/>
            <w:vAlign w:val="center"/>
          </w:tcPr>
          <w:p>
            <w:pPr>
              <w:spacing w:after="0"/>
              <w:ind w:firstLine="0"/>
              <w:jc w:val="center"/>
            </w:pPr>
            <w:r>
              <w:rPr>
                <w:rFonts w:ascii="Times New Roman" w:hAnsi="Times New Roman" w:eastAsia="Times New Roman"/>
                <w:sz w:val="14"/>
              </w:rPr>
              <w:t>0,767435</w:t>
            </w:r>
          </w:p>
        </w:tc>
        <w:tc>
          <w:tcPr>
            <w:tcW w:type="dxa" w:w="2338"/>
            <w:vAlign w:val="center"/>
          </w:tcPr>
          <w:p>
            <w:pPr>
              <w:spacing w:after="0"/>
              <w:ind w:firstLine="0"/>
              <w:jc w:val="center"/>
            </w:pPr>
            <w:r>
              <w:rPr>
                <w:rFonts w:ascii="Times New Roman" w:hAnsi="Times New Roman" w:eastAsia="Times New Roman"/>
                <w:sz w:val="14"/>
              </w:rPr>
              <w:t>0,881669</w:t>
            </w:r>
          </w:p>
        </w:tc>
      </w:tr>
    </w:tbl>
    <w:p>
      <w:pPr>
        <w:spacing w:after="20"/>
        <w:ind w:firstLine="0"/>
      </w:pPr>
    </w:p>
    <w:p>
      <w:pPr>
        <w:spacing w:after="60"/>
        <w:ind w:firstLine="283"/>
        <w:jc w:val="both"/>
      </w:pPr>
      <w:r>
        <w:rPr>
          <w:rFonts w:ascii="Times New Roman" w:hAnsi="Times New Roman" w:eastAsia="Times New Roman"/>
          <w:sz w:val="19"/>
        </w:rPr>
        <w:t>Rerata lima seed untuk F1 adalah 0,800461 dengan simpangan baku 0,001184. Hasil XGBoost identik pada kelima seed (F1 0,799629, simpangan baku 0), karena prosedur histogram deterministik tanpa subsampling; angka ini tidak boleh dibaca sebagai kestabilan yang lebih tinggi, melainkan sebagai ketiadaan variasi seed pada prosedur tersebut.</w:t>
      </w:r>
    </w:p>
    <w:p>
      <w:pPr>
        <w:spacing w:after="60"/>
        <w:ind w:firstLine="283"/>
        <w:jc w:val="both"/>
      </w:pPr>
      <w:r>
        <w:rPr>
          <w:rFonts w:ascii="Times New Roman" w:hAnsi="Times New Roman" w:eastAsia="Times New Roman"/>
          <w:sz w:val="19"/>
        </w:rPr>
        <w:t>Tiga hal perlu dibaca bersama. Pertama, precision tinggi (0,907) sementara recall jauh lebih rendah (0,718). Pada periode uji dengan prevalensi phishing 45,7 %, precision tinggi sebagian merupakan konsekuensi komposisi kelas, bukan bukti kualitas model. Kedua, FPR berada pada skala persen (6,17 %), bukan pecahan persen seperti pada PhiUSIIL (0,011 %). Ketiga, komposisi kelas berubah drastis antarbulan di dalam periode uji: prevalensi phishing 13,47 % pada September 2025, 46,75 % pada Oktober, 90,08 % pada November, dan 0 % pada Desember. F1 agregat karena itu mencampur rezim yang sangat berbeda. Pada Desember 2025, yang hanya berisi 1.017 baris benign tanpa satu pun baris phishing, F1 dan recall tidak terdefinisi; FPR pada bulan itu 0,124877. Angka tersebut dilaporkan sebagai peringatan pembacaan, bukan sebagai hasil utama.</w:t>
      </w:r>
    </w:p>
    <w:p>
      <w:pPr>
        <w:spacing w:after="60"/>
        <w:ind w:firstLine="283"/>
        <w:jc w:val="both"/>
      </w:pPr>
      <w:r>
        <w:rPr>
          <w:rFonts w:ascii="Times New Roman" w:hAnsi="Times New Roman" w:eastAsia="Times New Roman"/>
          <w:sz w:val="19"/>
        </w:rPr>
        <w:t>Perubahan komposisi kelas sebagian menjelaskan mengapa angka agregat tidak dapat dipakai untuk menyimpulkan tren, meskipun TPR dan FPR tidak dijamin konstan antarbulan sehingga prevalensi bukan satu-satunya faktor. Bulan dengan prevalensi 90 % menghasilkan precision sangat tinggi secara aritmetika, sedangkan bulan dengan prevalensi 13 % menghasilkan precision jauh lebih rendah pada model yang sama. Membandingkan F1 antarbulan tanpa memperhitungkan hal ini akan menghasilkan kesimpulan yang salah arah.</w:t>
      </w:r>
    </w:p>
    <w:p>
      <w:pPr>
        <w:pStyle w:val="Heading2"/>
        <w:ind w:firstLine="0"/>
        <w:jc w:val="left"/>
      </w:pPr>
      <w:r>
        <w:rPr>
          <w:rFonts w:ascii="Times New Roman" w:hAnsi="Times New Roman" w:eastAsia="Times New Roman"/>
          <w:sz w:val="20"/>
        </w:rPr>
        <w:t>3.6 Kesenjangan Akurasi dan Deployment dan Proyeksi Prevalensi</w:t>
      </w:r>
    </w:p>
    <w:p>
      <w:pPr>
        <w:spacing w:after="60"/>
        <w:ind w:firstLine="283"/>
        <w:jc w:val="both"/>
      </w:pPr>
      <w:r>
        <w:rPr>
          <w:rFonts w:ascii="Times New Roman" w:hAnsi="Times New Roman" w:eastAsia="Times New Roman"/>
          <w:sz w:val="19"/>
        </w:rPr>
        <w:t xml:space="preserve">Selisih F1 antara evaluasi statis terbaik (A0, </w:t>
      </w:r>
      <w:r>
        <w:rPr>
          <w:rFonts w:ascii="Times New Roman" w:hAnsi="Times New Roman" w:eastAsia="Times New Roman"/>
          <w:i/>
          <w:sz w:val="19"/>
        </w:rPr>
        <w:t>site-disjoint</w:t>
      </w:r>
      <w:r>
        <w:rPr>
          <w:rFonts w:ascii="Times New Roman" w:hAnsi="Times New Roman" w:eastAsia="Times New Roman"/>
          <w:sz w:val="19"/>
        </w:rPr>
        <w:t>, LightGBM, 0,999623) dan evaluasi temporal (A2, LightGBM, 0,800461) adalah 0,199162. Angka ini dilaporkan sebagai selisih aritmetika, bukan sebagai efek waktu. Alasannya tegas: korpus berbeda (PhiUSIIL vs PhreshPhish), fitur berbeda (A0 dengan 47 fitur terhitung vs A2 dengan 18 fitur URL), sumber representasi berbeda, komposisi kelas berbeda, dan periode pengumpulan berbeda. Tidak ada satu pun faktor yang diisolasi oleh perbandingan ini.</w:t>
      </w:r>
    </w:p>
    <w:p>
      <w:pPr>
        <w:spacing w:after="60"/>
        <w:ind w:firstLine="283"/>
        <w:jc w:val="both"/>
      </w:pPr>
      <w:r>
        <w:rPr>
          <w:rFonts w:ascii="Times New Roman" w:hAnsi="Times New Roman" w:eastAsia="Times New Roman"/>
          <w:sz w:val="19"/>
        </w:rPr>
        <w:t>Lebih penting lagi, evaluasi temporal pada PhreshPhish tidak dapat dipisahkan dari faktor temporal: periode uji berasal dari waktu yang lebih akhir daripada periode latih, sehingga perbedaan kinerja antara periode awal dan akhir tidak dapat diatribusikan kepada waktu saja. Perbandingan lintas korpus PhiUSIIL–PhreshPhish membawa perancu tambahan yang berbeda sifatnya, yaitu pipeline dan vendor pengumpulan yang berbeda, dan perancu tersebut berlaku pada perbandingan lintas korpus itu, bukan pada perbandingan antarbulan di dalam PhreshPhish. Kedua jenis perancu ini bercampur dan tidak dapat dipisahkan dengan data yang tersedia. Klaim yang sah adalah "model A2 yang dilatih pada periode awal memperoleh F1 0,800 pada periode akhir korpus PhreshPhish", bukan "kinerja model menurun 20 poin karena waktu".</w:t>
      </w:r>
      <w:r>
        <w:rPr>
          <w:rFonts w:ascii="Times New Roman" w:hAnsi="Times New Roman" w:eastAsia="Times New Roman"/>
          <w:sz w:val="19"/>
        </w:rPr>
      </w:r>
    </w:p>
    <w:p>
      <w:pPr>
        <w:spacing w:after="60"/>
        <w:ind w:firstLine="283"/>
        <w:jc w:val="both"/>
      </w:pPr>
      <w:r>
        <w:rPr>
          <w:rFonts w:ascii="Times New Roman" w:hAnsi="Times New Roman" w:eastAsia="Times New Roman"/>
          <w:sz w:val="19"/>
        </w:rPr>
        <w:t>Implikasi operasional dipertimbangkan dengan menggabungkan FPR terukur dan prevalensi asumsi. Dari TPR PhreshPhish 0,718193 dan FPR 0,061693, proyeksi PPV aritmetika adalah 0,105218 pada prevalensi asumsi 1 % dan 0,379926 pada 5 %; angka tersebut merupakan skenario, bukan pengamatan deployment. Untuk PhiUSIIL, PPV yang dihitung pada prevalensi asumsi 1 % dari FPR terukur 0,000111 juga merupakan skenario, bukan bukti kinerja operasional. Hasil PhiUSIIL adalah pengamatan benchmark mendekati plafon; mekanismenya belum ditetapkan.</w:t>
      </w:r>
      <w:r>
        <w:rPr>
          <w:rFonts w:ascii="Times New Roman" w:hAnsi="Times New Roman" w:eastAsia="Times New Roman"/>
          <w:sz w:val="19"/>
        </w:rPr>
        <w:t xml:space="preserve"> Angka proyeksi tersebut konsisten dengan peringatan base-rate bahwa FPR kecil tidak menjamin proporsi alarm palsu yang kecil ketika prevalensi rendah [21], [22].</w:t>
      </w:r>
    </w:p>
    <w:p>
      <w:pPr>
        <w:pStyle w:val="Heading2"/>
        <w:ind w:firstLine="0"/>
        <w:jc w:val="left"/>
      </w:pPr>
      <w:r>
        <w:rPr>
          <w:rFonts w:ascii="Times New Roman" w:hAnsi="Times New Roman" w:eastAsia="Times New Roman"/>
          <w:sz w:val="20"/>
        </w:rPr>
        <w:t xml:space="preserve">3.7 Transfer Lintas-Korpus </w:t>
      </w:r>
      <w:r>
        <w:rPr>
          <w:rFonts w:ascii="Times New Roman" w:hAnsi="Times New Roman" w:eastAsia="Times New Roman"/>
          <w:i/>
          <w:sz w:val="20"/>
        </w:rPr>
        <w:t>Zero-Shot</w:t>
      </w:r>
    </w:p>
    <w:p>
      <w:pPr>
        <w:spacing w:after="60"/>
        <w:ind w:firstLine="283"/>
        <w:jc w:val="both"/>
      </w:pPr>
      <w:r>
        <w:rPr>
          <w:rFonts w:ascii="Times New Roman" w:hAnsi="Times New Roman" w:eastAsia="Times New Roman"/>
          <w:sz w:val="19"/>
        </w:rPr>
        <w:t>Eksperimen ini menguji klaim paling langsung dalam artikel: apakah representasi A2 yang sama dapat dipindahkan antarkorpus tanpa adaptasi; dua arah diuji, PhiUSIIL→PhreshPhish dan PhreshPhish→PhiUSIIL. Tabel 7 memperlihatkan hasil seed 42. Referensi dalam-domain PhiUSIIL tetap mendekati plafon untuk kedua model, tetapi perilaku berubah tajam pada target.</w:t>
      </w:r>
    </w:p>
    <w:p>
      <w:pPr>
        <w:keepNext/>
        <w:keepLines/>
        <w:spacing w:after="60"/>
        <w:ind w:firstLine="0"/>
        <w:jc w:val="center"/>
      </w:pPr>
      <w:r>
        <w:rPr>
          <w:rFonts w:ascii="Times New Roman" w:hAnsi="Times New Roman" w:eastAsia="Times New Roman"/>
          <w:b/>
          <w:sz w:val="17"/>
        </w:rPr>
        <w:t>Tabel 7.</w:t>
      </w:r>
      <w:r>
        <w:rPr>
          <w:rFonts w:ascii="Times New Roman" w:hAnsi="Times New Roman" w:eastAsia="Times New Roman"/>
          <w:sz w:val="17"/>
        </w:rPr>
        <w:t xml:space="preserve"> Transfer A2 seed 42 dengan model dan ambang 0,5 yang dibekukan, dua arah. Baris target tidak menggunakan fitting, kalibrasi, atau penyetelan ambang pada korpus target. Baris PhiUSIIL→PhreshPhish dievaluasi pada 168.035 baris uji temporal setelah penyaringan kanonik yang mengeluarkan 3 URL terlihat di latih dan 22 duplikat URL. Baris PhreshPhish→PhiUSIIL dievaluasi pada 235.370 baris PhiUSIIL, dan baris PhreshPhish dalam-sumber pada 168.060 baris blok uji sebelum rangkaian penyaringan kanonik yang sama diterapkan (eksperimen 9). Arah balik hanya memakai LightGBM, dan deduplikasi pada eksperimen 9 memakai string URL persis di dalam blok tanggal, bukan kunci URL kanonik yang dipakai eksperimen temporal dan ambang.</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rPr>
          <w:cantSplit/>
          <w:tblHeader w:val="true"/>
        </w:trPr>
        <w:tc>
          <w:tcPr>
            <w:tcW w:type="dxa" w:w="1039"/>
            <w:vAlign w:val="center"/>
          </w:tcPr>
          <w:p>
            <w:pPr>
              <w:spacing w:after="0"/>
              <w:ind w:firstLine="0"/>
              <w:jc w:val="center"/>
            </w:pPr>
            <w:r>
              <w:rPr>
                <w:rFonts w:ascii="Times New Roman" w:hAnsi="Times New Roman" w:eastAsia="Times New Roman"/>
                <w:b/>
                <w:sz w:val="14"/>
              </w:rPr>
              <w:t>Model</w:t>
            </w:r>
          </w:p>
        </w:tc>
        <w:tc>
          <w:tcPr>
            <w:tcW w:type="dxa" w:w="1039"/>
            <w:vAlign w:val="center"/>
          </w:tcPr>
          <w:p>
            <w:pPr>
              <w:spacing w:after="0"/>
              <w:ind w:firstLine="0"/>
              <w:jc w:val="center"/>
            </w:pPr>
            <w:r>
              <w:rPr>
                <w:rFonts w:ascii="Times New Roman" w:hAnsi="Times New Roman" w:eastAsia="Times New Roman"/>
                <w:b/>
                <w:sz w:val="14"/>
              </w:rPr>
              <w:t>Evaluasi</w:t>
            </w:r>
          </w:p>
        </w:tc>
        <w:tc>
          <w:tcPr>
            <w:tcW w:type="dxa" w:w="1039"/>
            <w:vAlign w:val="center"/>
          </w:tcPr>
          <w:p>
            <w:pPr>
              <w:spacing w:after="0"/>
              <w:ind w:firstLine="0"/>
              <w:jc w:val="center"/>
            </w:pPr>
            <w:r>
              <w:rPr>
                <w:rFonts w:ascii="Times New Roman" w:hAnsi="Times New Roman" w:eastAsia="Times New Roman"/>
                <w:b/>
                <w:sz w:val="14"/>
              </w:rPr>
              <w:t>F1 phish</w:t>
            </w:r>
          </w:p>
        </w:tc>
        <w:tc>
          <w:tcPr>
            <w:tcW w:type="dxa" w:w="1039"/>
            <w:vAlign w:val="center"/>
          </w:tcPr>
          <w:p>
            <w:pPr>
              <w:spacing w:after="0"/>
              <w:ind w:firstLine="0"/>
              <w:jc w:val="center"/>
            </w:pPr>
            <w:r>
              <w:rPr>
                <w:rFonts w:ascii="Times New Roman" w:hAnsi="Times New Roman" w:eastAsia="Times New Roman"/>
                <w:b/>
                <w:sz w:val="14"/>
              </w:rPr>
              <w:t>Precision</w:t>
            </w:r>
          </w:p>
        </w:tc>
        <w:tc>
          <w:tcPr>
            <w:tcW w:type="dxa" w:w="1039"/>
            <w:vAlign w:val="center"/>
          </w:tcPr>
          <w:p>
            <w:pPr>
              <w:spacing w:after="0"/>
              <w:ind w:firstLine="0"/>
              <w:jc w:val="center"/>
            </w:pPr>
            <w:r>
              <w:rPr>
                <w:rFonts w:ascii="Times New Roman" w:hAnsi="Times New Roman" w:eastAsia="Times New Roman"/>
                <w:b/>
                <w:sz w:val="14"/>
              </w:rPr>
              <w:t>Recall</w:t>
            </w:r>
          </w:p>
        </w:tc>
        <w:tc>
          <w:tcPr>
            <w:tcW w:type="dxa" w:w="1039"/>
            <w:vAlign w:val="center"/>
          </w:tcPr>
          <w:p>
            <w:pPr>
              <w:spacing w:after="0"/>
              <w:ind w:firstLine="0"/>
              <w:jc w:val="center"/>
            </w:pPr>
            <w:r>
              <w:rPr>
                <w:rFonts w:ascii="Times New Roman" w:hAnsi="Times New Roman" w:eastAsia="Times New Roman"/>
                <w:b/>
                <w:sz w:val="14"/>
              </w:rPr>
              <w:t>FPR benign</w:t>
            </w:r>
          </w:p>
        </w:tc>
        <w:tc>
          <w:tcPr>
            <w:tcW w:type="dxa" w:w="1039"/>
            <w:vAlign w:val="center"/>
          </w:tcPr>
          <w:p>
            <w:pPr>
              <w:spacing w:after="0"/>
              <w:ind w:firstLine="0"/>
              <w:jc w:val="center"/>
            </w:pPr>
            <w:r>
              <w:rPr>
                <w:rFonts w:ascii="Times New Roman" w:hAnsi="Times New Roman" w:eastAsia="Times New Roman"/>
                <w:b/>
                <w:sz w:val="14"/>
              </w:rPr>
              <w:t>ROC-AUC</w:t>
            </w:r>
          </w:p>
        </w:tc>
        <w:tc>
          <w:tcPr>
            <w:tcW w:type="dxa" w:w="1039"/>
            <w:vAlign w:val="center"/>
          </w:tcPr>
          <w:p>
            <w:pPr>
              <w:spacing w:after="0"/>
              <w:ind w:firstLine="0"/>
              <w:jc w:val="center"/>
            </w:pPr>
            <w:r>
              <w:rPr>
                <w:rFonts w:ascii="Times New Roman" w:hAnsi="Times New Roman" w:eastAsia="Times New Roman"/>
                <w:b/>
                <w:sz w:val="14"/>
              </w:rPr>
              <w:t>AP</w:t>
            </w:r>
          </w:p>
        </w:tc>
        <w:tc>
          <w:tcPr>
            <w:tcW w:type="dxa" w:w="1039"/>
            <w:vAlign w:val="center"/>
          </w:tcPr>
          <w:p>
            <w:pPr>
              <w:spacing w:after="0"/>
              <w:ind w:firstLine="0"/>
              <w:jc w:val="center"/>
            </w:pPr>
            <w:r>
              <w:rPr>
                <w:rFonts w:ascii="Times New Roman" w:hAnsi="Times New Roman" w:eastAsia="Times New Roman"/>
                <w:b/>
                <w:sz w:val="14"/>
              </w:rPr>
              <w:t>MCC</w:t>
            </w:r>
          </w:p>
        </w:tc>
      </w:tr>
      <w:tr>
        <w:trPr>
          <w:cantSplit/>
        </w:trPr>
        <w:tc>
          <w:tcPr>
            <w:tcW w:type="dxa" w:w="1039"/>
            <w:vAlign w:val="center"/>
          </w:tcPr>
          <w:p>
            <w:pPr>
              <w:spacing w:after="0"/>
              <w:ind w:firstLine="0"/>
              <w:jc w:val="left"/>
            </w:pPr>
            <w:r>
              <w:rPr>
                <w:rFonts w:ascii="Times New Roman" w:hAnsi="Times New Roman" w:eastAsia="Times New Roman"/>
                <w:sz w:val="14"/>
              </w:rPr>
              <w:t>LightGBM</w:t>
            </w:r>
          </w:p>
        </w:tc>
        <w:tc>
          <w:tcPr>
            <w:tcW w:type="dxa" w:w="1039"/>
            <w:vAlign w:val="center"/>
          </w:tcPr>
          <w:p>
            <w:pPr>
              <w:spacing w:after="0"/>
              <w:ind w:firstLine="0"/>
              <w:jc w:val="center"/>
            </w:pPr>
            <w:r>
              <w:rPr>
                <w:rFonts w:ascii="Times New Roman" w:hAnsi="Times New Roman" w:eastAsia="Times New Roman"/>
                <w:sz w:val="14"/>
              </w:rPr>
              <w:t>PhiUSIIL dalam-domain</w:t>
            </w:r>
          </w:p>
        </w:tc>
        <w:tc>
          <w:tcPr>
            <w:tcW w:type="dxa" w:w="1039"/>
            <w:vAlign w:val="center"/>
          </w:tcPr>
          <w:p>
            <w:pPr>
              <w:spacing w:after="0"/>
              <w:ind w:firstLine="0"/>
              <w:jc w:val="center"/>
            </w:pPr>
            <w:r>
              <w:rPr>
                <w:rFonts w:ascii="Times New Roman" w:hAnsi="Times New Roman" w:eastAsia="Times New Roman"/>
                <w:sz w:val="14"/>
              </w:rPr>
              <w:t>0,995985</w:t>
            </w:r>
          </w:p>
        </w:tc>
        <w:tc>
          <w:tcPr>
            <w:tcW w:type="dxa" w:w="1039"/>
            <w:vAlign w:val="center"/>
          </w:tcPr>
          <w:p>
            <w:pPr>
              <w:spacing w:after="0"/>
              <w:ind w:firstLine="0"/>
              <w:jc w:val="center"/>
            </w:pPr>
            <w:r>
              <w:rPr>
                <w:rFonts w:ascii="Times New Roman" w:hAnsi="Times New Roman" w:eastAsia="Times New Roman"/>
                <w:sz w:val="14"/>
              </w:rPr>
              <w:t>0,998600</w:t>
            </w:r>
          </w:p>
        </w:tc>
        <w:tc>
          <w:tcPr>
            <w:tcW w:type="dxa" w:w="1039"/>
            <w:vAlign w:val="center"/>
          </w:tcPr>
          <w:p>
            <w:pPr>
              <w:spacing w:after="0"/>
              <w:ind w:firstLine="0"/>
              <w:jc w:val="center"/>
            </w:pPr>
            <w:r>
              <w:rPr>
                <w:rFonts w:ascii="Times New Roman" w:hAnsi="Times New Roman" w:eastAsia="Times New Roman"/>
                <w:sz w:val="14"/>
              </w:rPr>
              <w:t>0,993384</w:t>
            </w:r>
          </w:p>
        </w:tc>
        <w:tc>
          <w:tcPr>
            <w:tcW w:type="dxa" w:w="1039"/>
            <w:vAlign w:val="center"/>
          </w:tcPr>
          <w:p>
            <w:pPr>
              <w:spacing w:after="0"/>
              <w:ind w:firstLine="0"/>
              <w:jc w:val="center"/>
            </w:pPr>
            <w:r>
              <w:rPr>
                <w:rFonts w:ascii="Times New Roman" w:hAnsi="Times New Roman" w:eastAsia="Times New Roman"/>
                <w:sz w:val="14"/>
              </w:rPr>
              <w:t>0,001038</w:t>
            </w:r>
          </w:p>
        </w:tc>
        <w:tc>
          <w:tcPr>
            <w:tcW w:type="dxa" w:w="1039"/>
            <w:vAlign w:val="center"/>
          </w:tcPr>
          <w:p>
            <w:pPr>
              <w:spacing w:after="0"/>
              <w:ind w:firstLine="0"/>
              <w:jc w:val="center"/>
            </w:pPr>
            <w:r>
              <w:rPr>
                <w:rFonts w:ascii="Times New Roman" w:hAnsi="Times New Roman" w:eastAsia="Times New Roman"/>
                <w:sz w:val="14"/>
              </w:rPr>
              <w:t>0,998101</w:t>
            </w:r>
          </w:p>
        </w:tc>
        <w:tc>
          <w:tcPr>
            <w:tcW w:type="dxa" w:w="1039"/>
            <w:vAlign w:val="center"/>
          </w:tcPr>
          <w:p>
            <w:pPr>
              <w:spacing w:after="0"/>
              <w:ind w:firstLine="0"/>
              <w:jc w:val="center"/>
            </w:pPr>
            <w:r>
              <w:rPr>
                <w:rFonts w:ascii="Times New Roman" w:hAnsi="Times New Roman" w:eastAsia="Times New Roman"/>
                <w:sz w:val="14"/>
              </w:rPr>
              <w:t>0,998554</w:t>
            </w:r>
          </w:p>
        </w:tc>
        <w:tc>
          <w:tcPr>
            <w:tcW w:type="dxa" w:w="1039"/>
            <w:vAlign w:val="center"/>
          </w:tcPr>
          <w:p>
            <w:pPr>
              <w:spacing w:after="0"/>
              <w:ind w:firstLine="0"/>
              <w:jc w:val="center"/>
            </w:pPr>
            <w:r>
              <w:rPr>
                <w:rFonts w:ascii="Times New Roman" w:hAnsi="Times New Roman" w:eastAsia="Times New Roman"/>
                <w:sz w:val="14"/>
              </w:rPr>
              <w:t>0,993017</w:t>
            </w:r>
          </w:p>
        </w:tc>
      </w:tr>
      <w:tr>
        <w:trPr>
          <w:cantSplit/>
        </w:trPr>
        <w:tc>
          <w:tcPr>
            <w:tcW w:type="dxa" w:w="1039"/>
            <w:vAlign w:val="center"/>
          </w:tcPr>
          <w:p>
            <w:pPr>
              <w:spacing w:after="0"/>
              <w:ind w:firstLine="0"/>
              <w:jc w:val="left"/>
            </w:pPr>
            <w:r>
              <w:rPr>
                <w:rFonts w:ascii="Times New Roman" w:hAnsi="Times New Roman" w:eastAsia="Times New Roman"/>
                <w:sz w:val="14"/>
              </w:rPr>
              <w:t>LightGBM</w:t>
            </w:r>
          </w:p>
        </w:tc>
        <w:tc>
          <w:tcPr>
            <w:tcW w:type="dxa" w:w="1039"/>
            <w:vAlign w:val="center"/>
          </w:tcPr>
          <w:p>
            <w:pPr>
              <w:spacing w:after="0"/>
              <w:ind w:firstLine="0"/>
              <w:jc w:val="center"/>
            </w:pPr>
            <w:r>
              <w:rPr>
                <w:rFonts w:ascii="Times New Roman" w:hAnsi="Times New Roman" w:eastAsia="Times New Roman"/>
                <w:sz w:val="14"/>
              </w:rPr>
              <w:t>PhiUSIIL→PhreshPhish zero-shot</w:t>
            </w:r>
          </w:p>
        </w:tc>
        <w:tc>
          <w:tcPr>
            <w:tcW w:type="dxa" w:w="1039"/>
            <w:vAlign w:val="center"/>
          </w:tcPr>
          <w:p>
            <w:pPr>
              <w:spacing w:after="0"/>
              <w:ind w:firstLine="0"/>
              <w:jc w:val="center"/>
            </w:pPr>
            <w:r>
              <w:rPr>
                <w:rFonts w:ascii="Times New Roman" w:hAnsi="Times New Roman" w:eastAsia="Times New Roman"/>
                <w:sz w:val="14"/>
              </w:rPr>
              <w:t>0,599064</w:t>
            </w:r>
          </w:p>
        </w:tc>
        <w:tc>
          <w:tcPr>
            <w:tcW w:type="dxa" w:w="1039"/>
            <w:vAlign w:val="center"/>
          </w:tcPr>
          <w:p>
            <w:pPr>
              <w:spacing w:after="0"/>
              <w:ind w:firstLine="0"/>
              <w:jc w:val="center"/>
            </w:pPr>
            <w:r>
              <w:rPr>
                <w:rFonts w:ascii="Times New Roman" w:hAnsi="Times New Roman" w:eastAsia="Times New Roman"/>
                <w:sz w:val="14"/>
              </w:rPr>
              <w:t>0,442058</w:t>
            </w:r>
          </w:p>
        </w:tc>
        <w:tc>
          <w:tcPr>
            <w:tcW w:type="dxa" w:w="1039"/>
            <w:vAlign w:val="center"/>
          </w:tcPr>
          <w:p>
            <w:pPr>
              <w:spacing w:after="0"/>
              <w:ind w:firstLine="0"/>
              <w:jc w:val="center"/>
            </w:pPr>
            <w:r>
              <w:rPr>
                <w:rFonts w:ascii="Times New Roman" w:hAnsi="Times New Roman" w:eastAsia="Times New Roman"/>
                <w:sz w:val="14"/>
              </w:rPr>
              <w:t>0,929027</w:t>
            </w:r>
          </w:p>
        </w:tc>
        <w:tc>
          <w:tcPr>
            <w:tcW w:type="dxa" w:w="1039"/>
            <w:vAlign w:val="center"/>
          </w:tcPr>
          <w:p>
            <w:pPr>
              <w:spacing w:after="0"/>
              <w:ind w:firstLine="0"/>
              <w:jc w:val="center"/>
            </w:pPr>
            <w:r>
              <w:rPr>
                <w:rFonts w:ascii="Times New Roman" w:hAnsi="Times New Roman" w:eastAsia="Times New Roman"/>
                <w:sz w:val="14"/>
              </w:rPr>
              <w:t>0,986478</w:t>
            </w:r>
          </w:p>
        </w:tc>
        <w:tc>
          <w:tcPr>
            <w:tcW w:type="dxa" w:w="1039"/>
            <w:vAlign w:val="center"/>
          </w:tcPr>
          <w:p>
            <w:pPr>
              <w:spacing w:after="0"/>
              <w:ind w:firstLine="0"/>
              <w:jc w:val="center"/>
            </w:pPr>
            <w:r>
              <w:rPr>
                <w:rFonts w:ascii="Times New Roman" w:hAnsi="Times New Roman" w:eastAsia="Times New Roman"/>
                <w:sz w:val="14"/>
              </w:rPr>
              <w:t>0,382566</w:t>
            </w:r>
          </w:p>
        </w:tc>
        <w:tc>
          <w:tcPr>
            <w:tcW w:type="dxa" w:w="1039"/>
            <w:vAlign w:val="center"/>
          </w:tcPr>
          <w:p>
            <w:pPr>
              <w:spacing w:after="0"/>
              <w:ind w:firstLine="0"/>
              <w:jc w:val="center"/>
            </w:pPr>
            <w:r>
              <w:rPr>
                <w:rFonts w:ascii="Times New Roman" w:hAnsi="Times New Roman" w:eastAsia="Times New Roman"/>
                <w:sz w:val="14"/>
              </w:rPr>
              <w:t>0,400534</w:t>
            </w:r>
          </w:p>
        </w:tc>
        <w:tc>
          <w:tcPr>
            <w:tcW w:type="dxa" w:w="1039"/>
            <w:vAlign w:val="center"/>
          </w:tcPr>
          <w:p>
            <w:pPr>
              <w:spacing w:after="0"/>
              <w:ind w:firstLine="0"/>
              <w:jc w:val="center"/>
            </w:pPr>
            <w:r>
              <w:rPr>
                <w:rFonts w:ascii="Times New Roman" w:hAnsi="Times New Roman" w:eastAsia="Times New Roman"/>
                <w:sz w:val="14"/>
              </w:rPr>
              <w:t>−0,146445</w:t>
            </w:r>
          </w:p>
        </w:tc>
      </w:tr>
      <w:tr>
        <w:trPr>
          <w:cantSplit/>
        </w:trPr>
        <w:tc>
          <w:tcPr>
            <w:tcW w:type="dxa" w:w="1039"/>
            <w:vAlign w:val="center"/>
          </w:tcPr>
          <w:p>
            <w:pPr>
              <w:spacing w:after="0"/>
              <w:ind w:firstLine="0"/>
              <w:jc w:val="left"/>
            </w:pPr>
            <w:r>
              <w:rPr>
                <w:rFonts w:ascii="Times New Roman" w:hAnsi="Times New Roman" w:eastAsia="Times New Roman"/>
                <w:sz w:val="14"/>
              </w:rPr>
              <w:t>LightGBM</w:t>
            </w:r>
          </w:p>
        </w:tc>
        <w:tc>
          <w:tcPr>
            <w:tcW w:type="dxa" w:w="1039"/>
            <w:vAlign w:val="center"/>
          </w:tcPr>
          <w:p>
            <w:pPr>
              <w:spacing w:after="0"/>
              <w:ind w:firstLine="0"/>
              <w:jc w:val="center"/>
            </w:pPr>
            <w:r>
              <w:rPr>
                <w:rFonts w:ascii="Times New Roman" w:hAnsi="Times New Roman" w:eastAsia="Times New Roman"/>
                <w:sz w:val="14"/>
              </w:rPr>
              <w:t>PhreshPhish→PhiUSIIL zero-shot</w:t>
            </w:r>
          </w:p>
        </w:tc>
        <w:tc>
          <w:tcPr>
            <w:tcW w:type="dxa" w:w="1039"/>
            <w:vAlign w:val="center"/>
          </w:tcPr>
          <w:p>
            <w:pPr>
              <w:spacing w:after="0"/>
              <w:ind w:firstLine="0"/>
              <w:jc w:val="center"/>
            </w:pPr>
            <w:r>
              <w:rPr>
                <w:rFonts w:ascii="Times New Roman" w:hAnsi="Times New Roman" w:eastAsia="Times New Roman"/>
                <w:sz w:val="14"/>
              </w:rPr>
              <w:t>0,549564</w:t>
            </w:r>
          </w:p>
        </w:tc>
        <w:tc>
          <w:tcPr>
            <w:tcW w:type="dxa" w:w="1039"/>
            <w:vAlign w:val="center"/>
          </w:tcPr>
          <w:p>
            <w:pPr>
              <w:spacing w:after="0"/>
              <w:ind w:firstLine="0"/>
              <w:jc w:val="center"/>
            </w:pPr>
            <w:r>
              <w:rPr>
                <w:rFonts w:ascii="Times New Roman" w:hAnsi="Times New Roman" w:eastAsia="Times New Roman"/>
                <w:sz w:val="14"/>
              </w:rPr>
              <w:t>0,409503</w:t>
            </w:r>
          </w:p>
        </w:tc>
        <w:tc>
          <w:tcPr>
            <w:tcW w:type="dxa" w:w="1039"/>
            <w:vAlign w:val="center"/>
          </w:tcPr>
          <w:p>
            <w:pPr>
              <w:spacing w:after="0"/>
              <w:ind w:firstLine="0"/>
              <w:jc w:val="center"/>
            </w:pPr>
            <w:r>
              <w:rPr>
                <w:rFonts w:ascii="Times New Roman" w:hAnsi="Times New Roman" w:eastAsia="Times New Roman"/>
                <w:sz w:val="14"/>
              </w:rPr>
              <w:t>0,835237</w:t>
            </w:r>
          </w:p>
        </w:tc>
        <w:tc>
          <w:tcPr>
            <w:tcW w:type="dxa" w:w="1039"/>
            <w:vAlign w:val="center"/>
          </w:tcPr>
          <w:p>
            <w:pPr>
              <w:spacing w:after="0"/>
              <w:ind w:firstLine="0"/>
              <w:jc w:val="center"/>
            </w:pPr>
            <w:r>
              <w:rPr>
                <w:rFonts w:ascii="Times New Roman" w:hAnsi="Times New Roman" w:eastAsia="Times New Roman"/>
                <w:sz w:val="14"/>
              </w:rPr>
              <w:t>0,897783</w:t>
            </w:r>
          </w:p>
        </w:tc>
        <w:tc>
          <w:tcPr>
            <w:tcW w:type="dxa" w:w="1039"/>
            <w:vAlign w:val="center"/>
          </w:tcPr>
          <w:p>
            <w:pPr>
              <w:spacing w:after="0"/>
              <w:ind w:firstLine="0"/>
              <w:jc w:val="center"/>
            </w:pPr>
            <w:r>
              <w:rPr>
                <w:rFonts w:ascii="Times New Roman" w:hAnsi="Times New Roman" w:eastAsia="Times New Roman"/>
                <w:sz w:val="14"/>
              </w:rPr>
              <w:t>0,642939</w:t>
            </w:r>
          </w:p>
        </w:tc>
        <w:tc>
          <w:tcPr>
            <w:tcW w:type="dxa" w:w="1039"/>
            <w:vAlign w:val="center"/>
          </w:tcPr>
          <w:p>
            <w:pPr>
              <w:spacing w:after="0"/>
              <w:ind w:firstLine="0"/>
              <w:jc w:val="center"/>
            </w:pPr>
            <w:r>
              <w:rPr>
                <w:rFonts w:ascii="Times New Roman" w:hAnsi="Times New Roman" w:eastAsia="Times New Roman"/>
                <w:sz w:val="14"/>
              </w:rPr>
              <w:t>0,682202</w:t>
            </w:r>
          </w:p>
        </w:tc>
        <w:tc>
          <w:tcPr>
            <w:tcW w:type="dxa" w:w="1039"/>
            <w:vAlign w:val="center"/>
          </w:tcPr>
          <w:p>
            <w:pPr>
              <w:spacing w:after="0"/>
              <w:ind w:firstLine="0"/>
              <w:jc w:val="center"/>
            </w:pPr>
            <w:r>
              <w:rPr>
                <w:rFonts w:ascii="Times New Roman" w:hAnsi="Times New Roman" w:eastAsia="Times New Roman"/>
                <w:sz w:val="14"/>
              </w:rPr>
              <w:t>−0,092320</w:t>
            </w:r>
          </w:p>
        </w:tc>
      </w:tr>
      <w:tr>
        <w:trPr>
          <w:cantSplit/>
        </w:trPr>
        <w:tc>
          <w:tcPr>
            <w:tcW w:type="dxa" w:w="1039"/>
            <w:vAlign w:val="center"/>
          </w:tcPr>
          <w:p>
            <w:pPr>
              <w:spacing w:after="0"/>
              <w:ind w:firstLine="0"/>
              <w:jc w:val="left"/>
            </w:pPr>
            <w:r>
              <w:rPr>
                <w:rFonts w:ascii="Times New Roman" w:hAnsi="Times New Roman" w:eastAsia="Times New Roman"/>
                <w:sz w:val="14"/>
              </w:rPr>
              <w:t>LightGBM</w:t>
            </w:r>
          </w:p>
        </w:tc>
        <w:tc>
          <w:tcPr>
            <w:tcW w:type="dxa" w:w="1039"/>
            <w:vAlign w:val="center"/>
          </w:tcPr>
          <w:p>
            <w:pPr>
              <w:spacing w:after="0"/>
              <w:ind w:firstLine="0"/>
              <w:jc w:val="center"/>
            </w:pPr>
            <w:r>
              <w:rPr>
                <w:rFonts w:ascii="Times New Roman" w:hAnsi="Times New Roman" w:eastAsia="Times New Roman"/>
                <w:sz w:val="14"/>
              </w:rPr>
              <w:t>PhreshPhish dalam-sumber</w:t>
            </w:r>
          </w:p>
        </w:tc>
        <w:tc>
          <w:tcPr>
            <w:tcW w:type="dxa" w:w="1039"/>
            <w:vAlign w:val="center"/>
          </w:tcPr>
          <w:p>
            <w:pPr>
              <w:spacing w:after="0"/>
              <w:ind w:firstLine="0"/>
              <w:jc w:val="center"/>
            </w:pPr>
            <w:r>
              <w:rPr>
                <w:rFonts w:ascii="Times New Roman" w:hAnsi="Times New Roman" w:eastAsia="Times New Roman"/>
                <w:sz w:val="14"/>
              </w:rPr>
              <w:t>0,805958</w:t>
            </w:r>
          </w:p>
        </w:tc>
        <w:tc>
          <w:tcPr>
            <w:tcW w:type="dxa" w:w="1039"/>
            <w:vAlign w:val="center"/>
          </w:tcPr>
          <w:p>
            <w:pPr>
              <w:spacing w:after="0"/>
              <w:ind w:firstLine="0"/>
              <w:jc w:val="center"/>
            </w:pPr>
            <w:r>
              <w:rPr>
                <w:rFonts w:ascii="Times New Roman" w:hAnsi="Times New Roman" w:eastAsia="Times New Roman"/>
                <w:sz w:val="14"/>
              </w:rPr>
              <w:t>0,889221</w:t>
            </w:r>
          </w:p>
        </w:tc>
        <w:tc>
          <w:tcPr>
            <w:tcW w:type="dxa" w:w="1039"/>
            <w:vAlign w:val="center"/>
          </w:tcPr>
          <w:p>
            <w:pPr>
              <w:spacing w:after="0"/>
              <w:ind w:firstLine="0"/>
              <w:jc w:val="center"/>
            </w:pPr>
            <w:r>
              <w:rPr>
                <w:rFonts w:ascii="Times New Roman" w:hAnsi="Times New Roman" w:eastAsia="Times New Roman"/>
                <w:sz w:val="14"/>
              </w:rPr>
              <w:t>0,736953</w:t>
            </w:r>
          </w:p>
        </w:tc>
        <w:tc>
          <w:tcPr>
            <w:tcW w:type="dxa" w:w="1039"/>
            <w:vAlign w:val="center"/>
          </w:tcPr>
          <w:p>
            <w:pPr>
              <w:spacing w:after="0"/>
              <w:ind w:firstLine="0"/>
              <w:jc w:val="center"/>
            </w:pPr>
            <w:r>
              <w:rPr>
                <w:rFonts w:ascii="Times New Roman" w:hAnsi="Times New Roman" w:eastAsia="Times New Roman"/>
                <w:sz w:val="14"/>
              </w:rPr>
              <w:t>0,077263</w:t>
            </w:r>
          </w:p>
        </w:tc>
        <w:tc>
          <w:tcPr>
            <w:tcW w:type="dxa" w:w="1039"/>
            <w:vAlign w:val="center"/>
          </w:tcPr>
          <w:p>
            <w:pPr>
              <w:spacing w:after="0"/>
              <w:ind w:firstLine="0"/>
              <w:jc w:val="center"/>
            </w:pPr>
            <w:r>
              <w:rPr>
                <w:rFonts w:ascii="Times New Roman" w:hAnsi="Times New Roman" w:eastAsia="Times New Roman"/>
                <w:sz w:val="14"/>
              </w:rPr>
              <w:t>0,909696</w:t>
            </w:r>
          </w:p>
        </w:tc>
        <w:tc>
          <w:tcPr>
            <w:tcW w:type="dxa" w:w="1039"/>
            <w:vAlign w:val="center"/>
          </w:tcPr>
          <w:p>
            <w:pPr>
              <w:spacing w:after="0"/>
              <w:ind w:firstLine="0"/>
              <w:jc w:val="center"/>
            </w:pPr>
            <w:r>
              <w:rPr>
                <w:rFonts w:ascii="Times New Roman" w:hAnsi="Times New Roman" w:eastAsia="Times New Roman"/>
                <w:sz w:val="14"/>
              </w:rPr>
              <w:t>0,913361</w:t>
            </w:r>
          </w:p>
        </w:tc>
        <w:tc>
          <w:tcPr>
            <w:tcW w:type="dxa" w:w="1039"/>
            <w:vAlign w:val="center"/>
          </w:tcPr>
          <w:p>
            <w:pPr>
              <w:spacing w:after="0"/>
              <w:ind w:firstLine="0"/>
              <w:jc w:val="center"/>
            </w:pPr>
            <w:r>
              <w:rPr>
                <w:rFonts w:ascii="Times New Roman" w:hAnsi="Times New Roman" w:eastAsia="Times New Roman"/>
                <w:sz w:val="14"/>
              </w:rPr>
              <w:t>0,677473</w:t>
            </w:r>
          </w:p>
        </w:tc>
      </w:tr>
      <w:tr>
        <w:trPr>
          <w:cantSplit/>
        </w:trPr>
        <w:tc>
          <w:tcPr>
            <w:tcW w:type="dxa" w:w="1039"/>
            <w:vAlign w:val="center"/>
          </w:tcPr>
          <w:p>
            <w:pPr>
              <w:spacing w:after="0"/>
              <w:ind w:firstLine="0"/>
              <w:jc w:val="left"/>
            </w:pPr>
            <w:r>
              <w:rPr>
                <w:rFonts w:ascii="Times New Roman" w:hAnsi="Times New Roman" w:eastAsia="Times New Roman"/>
                <w:sz w:val="14"/>
              </w:rPr>
              <w:t>XGBoost</w:t>
            </w:r>
          </w:p>
        </w:tc>
        <w:tc>
          <w:tcPr>
            <w:tcW w:type="dxa" w:w="1039"/>
            <w:vAlign w:val="center"/>
          </w:tcPr>
          <w:p>
            <w:pPr>
              <w:spacing w:after="0"/>
              <w:ind w:firstLine="0"/>
              <w:jc w:val="center"/>
            </w:pPr>
            <w:r>
              <w:rPr>
                <w:rFonts w:ascii="Times New Roman" w:hAnsi="Times New Roman" w:eastAsia="Times New Roman"/>
                <w:sz w:val="14"/>
              </w:rPr>
              <w:t>PhiUSIIL dalam-domain</w:t>
            </w:r>
          </w:p>
        </w:tc>
        <w:tc>
          <w:tcPr>
            <w:tcW w:type="dxa" w:w="1039"/>
            <w:vAlign w:val="center"/>
          </w:tcPr>
          <w:p>
            <w:pPr>
              <w:spacing w:after="0"/>
              <w:ind w:firstLine="0"/>
              <w:jc w:val="center"/>
            </w:pPr>
            <w:r>
              <w:rPr>
                <w:rFonts w:ascii="Times New Roman" w:hAnsi="Times New Roman" w:eastAsia="Times New Roman"/>
                <w:sz w:val="14"/>
              </w:rPr>
              <w:t>0,995659</w:t>
            </w:r>
          </w:p>
        </w:tc>
        <w:tc>
          <w:tcPr>
            <w:tcW w:type="dxa" w:w="1039"/>
            <w:vAlign w:val="center"/>
          </w:tcPr>
          <w:p>
            <w:pPr>
              <w:spacing w:after="0"/>
              <w:ind w:firstLine="0"/>
              <w:jc w:val="center"/>
            </w:pPr>
            <w:r>
              <w:rPr>
                <w:rFonts w:ascii="Times New Roman" w:hAnsi="Times New Roman" w:eastAsia="Times New Roman"/>
                <w:sz w:val="14"/>
              </w:rPr>
              <w:t>0,998749</w:t>
            </w:r>
          </w:p>
        </w:tc>
        <w:tc>
          <w:tcPr>
            <w:tcW w:type="dxa" w:w="1039"/>
            <w:vAlign w:val="center"/>
          </w:tcPr>
          <w:p>
            <w:pPr>
              <w:spacing w:after="0"/>
              <w:ind w:firstLine="0"/>
              <w:jc w:val="center"/>
            </w:pPr>
            <w:r>
              <w:rPr>
                <w:rFonts w:ascii="Times New Roman" w:hAnsi="Times New Roman" w:eastAsia="Times New Roman"/>
                <w:sz w:val="14"/>
              </w:rPr>
              <w:t>0,992589</w:t>
            </w:r>
          </w:p>
        </w:tc>
        <w:tc>
          <w:tcPr>
            <w:tcW w:type="dxa" w:w="1039"/>
            <w:vAlign w:val="center"/>
          </w:tcPr>
          <w:p>
            <w:pPr>
              <w:spacing w:after="0"/>
              <w:ind w:firstLine="0"/>
              <w:jc w:val="center"/>
            </w:pPr>
            <w:r>
              <w:rPr>
                <w:rFonts w:ascii="Times New Roman" w:hAnsi="Times New Roman" w:eastAsia="Times New Roman"/>
                <w:sz w:val="14"/>
              </w:rPr>
              <w:t>0,000927</w:t>
            </w:r>
          </w:p>
        </w:tc>
        <w:tc>
          <w:tcPr>
            <w:tcW w:type="dxa" w:w="1039"/>
            <w:vAlign w:val="center"/>
          </w:tcPr>
          <w:p>
            <w:pPr>
              <w:spacing w:after="0"/>
              <w:ind w:firstLine="0"/>
              <w:jc w:val="center"/>
            </w:pPr>
            <w:r>
              <w:rPr>
                <w:rFonts w:ascii="Times New Roman" w:hAnsi="Times New Roman" w:eastAsia="Times New Roman"/>
                <w:sz w:val="14"/>
              </w:rPr>
              <w:t>0,998172</w:t>
            </w:r>
          </w:p>
        </w:tc>
        <w:tc>
          <w:tcPr>
            <w:tcW w:type="dxa" w:w="1039"/>
            <w:vAlign w:val="center"/>
          </w:tcPr>
          <w:p>
            <w:pPr>
              <w:spacing w:after="0"/>
              <w:ind w:firstLine="0"/>
              <w:jc w:val="center"/>
            </w:pPr>
            <w:r>
              <w:rPr>
                <w:rFonts w:ascii="Times New Roman" w:hAnsi="Times New Roman" w:eastAsia="Times New Roman"/>
                <w:sz w:val="14"/>
              </w:rPr>
              <w:t>0,998591</w:t>
            </w:r>
          </w:p>
        </w:tc>
        <w:tc>
          <w:tcPr>
            <w:tcW w:type="dxa" w:w="1039"/>
            <w:vAlign w:val="center"/>
          </w:tcPr>
          <w:p>
            <w:pPr>
              <w:spacing w:after="0"/>
              <w:ind w:firstLine="0"/>
              <w:jc w:val="center"/>
            </w:pPr>
            <w:r>
              <w:rPr>
                <w:rFonts w:ascii="Times New Roman" w:hAnsi="Times New Roman" w:eastAsia="Times New Roman"/>
                <w:sz w:val="14"/>
              </w:rPr>
              <w:t>0,992455</w:t>
            </w:r>
          </w:p>
        </w:tc>
      </w:tr>
      <w:tr>
        <w:trPr>
          <w:cantSplit/>
        </w:trPr>
        <w:tc>
          <w:tcPr>
            <w:tcW w:type="dxa" w:w="1039"/>
            <w:vAlign w:val="center"/>
          </w:tcPr>
          <w:p>
            <w:pPr>
              <w:spacing w:after="0"/>
              <w:ind w:firstLine="0"/>
              <w:jc w:val="left"/>
            </w:pPr>
            <w:r>
              <w:rPr>
                <w:rFonts w:ascii="Times New Roman" w:hAnsi="Times New Roman" w:eastAsia="Times New Roman"/>
                <w:sz w:val="14"/>
              </w:rPr>
              <w:t>XGBoost</w:t>
            </w:r>
          </w:p>
        </w:tc>
        <w:tc>
          <w:tcPr>
            <w:tcW w:type="dxa" w:w="1039"/>
            <w:vAlign w:val="center"/>
          </w:tcPr>
          <w:p>
            <w:pPr>
              <w:spacing w:after="0"/>
              <w:ind w:firstLine="0"/>
              <w:jc w:val="center"/>
            </w:pPr>
            <w:r>
              <w:rPr>
                <w:rFonts w:ascii="Times New Roman" w:hAnsi="Times New Roman" w:eastAsia="Times New Roman"/>
                <w:sz w:val="14"/>
              </w:rPr>
              <w:t>PhiUSIIL→PhreshPhish zero-shot</w:t>
            </w:r>
          </w:p>
        </w:tc>
        <w:tc>
          <w:tcPr>
            <w:tcW w:type="dxa" w:w="1039"/>
            <w:vAlign w:val="center"/>
          </w:tcPr>
          <w:p>
            <w:pPr>
              <w:spacing w:after="0"/>
              <w:ind w:firstLine="0"/>
              <w:jc w:val="center"/>
            </w:pPr>
            <w:r>
              <w:rPr>
                <w:rFonts w:ascii="Times New Roman" w:hAnsi="Times New Roman" w:eastAsia="Times New Roman"/>
                <w:sz w:val="14"/>
              </w:rPr>
              <w:t>0,601062</w:t>
            </w:r>
          </w:p>
        </w:tc>
        <w:tc>
          <w:tcPr>
            <w:tcW w:type="dxa" w:w="1039"/>
            <w:vAlign w:val="center"/>
          </w:tcPr>
          <w:p>
            <w:pPr>
              <w:spacing w:after="0"/>
              <w:ind w:firstLine="0"/>
              <w:jc w:val="center"/>
            </w:pPr>
            <w:r>
              <w:rPr>
                <w:rFonts w:ascii="Times New Roman" w:hAnsi="Times New Roman" w:eastAsia="Times New Roman"/>
                <w:sz w:val="14"/>
              </w:rPr>
              <w:t>0,444544</w:t>
            </w:r>
          </w:p>
        </w:tc>
        <w:tc>
          <w:tcPr>
            <w:tcW w:type="dxa" w:w="1039"/>
            <w:vAlign w:val="center"/>
          </w:tcPr>
          <w:p>
            <w:pPr>
              <w:spacing w:after="0"/>
              <w:ind w:firstLine="0"/>
              <w:jc w:val="center"/>
            </w:pPr>
            <w:r>
              <w:rPr>
                <w:rFonts w:ascii="Times New Roman" w:hAnsi="Times New Roman" w:eastAsia="Times New Roman"/>
                <w:sz w:val="14"/>
              </w:rPr>
              <w:t>0,927686</w:t>
            </w:r>
          </w:p>
        </w:tc>
        <w:tc>
          <w:tcPr>
            <w:tcW w:type="dxa" w:w="1039"/>
            <w:vAlign w:val="center"/>
          </w:tcPr>
          <w:p>
            <w:pPr>
              <w:spacing w:after="0"/>
              <w:ind w:firstLine="0"/>
              <w:jc w:val="center"/>
            </w:pPr>
            <w:r>
              <w:rPr>
                <w:rFonts w:ascii="Times New Roman" w:hAnsi="Times New Roman" w:eastAsia="Times New Roman"/>
                <w:sz w:val="14"/>
              </w:rPr>
              <w:t>0,975181</w:t>
            </w:r>
          </w:p>
        </w:tc>
        <w:tc>
          <w:tcPr>
            <w:tcW w:type="dxa" w:w="1039"/>
            <w:vAlign w:val="center"/>
          </w:tcPr>
          <w:p>
            <w:pPr>
              <w:spacing w:after="0"/>
              <w:ind w:firstLine="0"/>
              <w:jc w:val="center"/>
            </w:pPr>
            <w:r>
              <w:rPr>
                <w:rFonts w:ascii="Times New Roman" w:hAnsi="Times New Roman" w:eastAsia="Times New Roman"/>
                <w:sz w:val="14"/>
              </w:rPr>
              <w:t>0,324871</w:t>
            </w:r>
          </w:p>
        </w:tc>
        <w:tc>
          <w:tcPr>
            <w:tcW w:type="dxa" w:w="1039"/>
            <w:vAlign w:val="center"/>
          </w:tcPr>
          <w:p>
            <w:pPr>
              <w:spacing w:after="0"/>
              <w:ind w:firstLine="0"/>
              <w:jc w:val="center"/>
            </w:pPr>
            <w:r>
              <w:rPr>
                <w:rFonts w:ascii="Times New Roman" w:hAnsi="Times New Roman" w:eastAsia="Times New Roman"/>
                <w:sz w:val="14"/>
              </w:rPr>
              <w:t>0,354125</w:t>
            </w:r>
          </w:p>
        </w:tc>
        <w:tc>
          <w:tcPr>
            <w:tcW w:type="dxa" w:w="1039"/>
            <w:vAlign w:val="center"/>
          </w:tcPr>
          <w:p>
            <w:pPr>
              <w:spacing w:after="0"/>
              <w:ind w:firstLine="0"/>
              <w:jc w:val="center"/>
            </w:pPr>
            <w:r>
              <w:rPr>
                <w:rFonts w:ascii="Times New Roman" w:hAnsi="Times New Roman" w:eastAsia="Times New Roman"/>
                <w:sz w:val="14"/>
              </w:rPr>
              <w:t>−0,112337</w:t>
            </w:r>
          </w:p>
        </w:tc>
      </w:tr>
    </w:tbl>
    <w:p>
      <w:pPr>
        <w:spacing w:after="20"/>
        <w:ind w:firstLine="0"/>
      </w:pPr>
    </w:p>
    <w:p>
      <w:pPr>
        <w:spacing w:after="60"/>
        <w:ind w:firstLine="283"/>
        <w:jc w:val="both"/>
      </w:pPr>
      <w:r>
        <w:rPr>
          <w:rFonts w:ascii="Times New Roman" w:hAnsi="Times New Roman" w:eastAsia="Times New Roman"/>
          <w:sz w:val="19"/>
        </w:rPr>
        <w:t>Pada LightGBM, 90.025 dari 91.259 URL benign target diberi label phishing, sedangkan 71.327 dari 76.776 URL phishing terdeteksi. Recall 0,929 karena itu dicapai dengan FPR 0,986. ROC-AUC di bawah 0,5 dan MCC negatif menunjukkan bahwa masalahnya bukan sekadar ambang 0,5; urutan skor target juga berlawanan atau tidak informatif bagi banyak baris. Bootstrap domain seed 42 menghasilkan IK 95% F1 [0,538701; 0,669829], FPR [0,984874; 0,988138], ROC-AUC [0,353178; 0,413481], dan MCC [−0,175573; −0,111340]. Kelima seed menghasilkan metrik yang identik pada presisi pelaporan, sehingga pengulangan seed tidak memperluas dukungan temporal atau korpus.</w:t>
      </w:r>
    </w:p>
    <w:p>
      <w:pPr>
        <w:spacing w:after="60"/>
        <w:ind w:firstLine="283"/>
        <w:jc w:val="both"/>
      </w:pPr>
      <w:r>
        <w:rPr>
          <w:rFonts w:ascii="Times New Roman" w:hAnsi="Times New Roman" w:eastAsia="Times New Roman"/>
          <w:sz w:val="19"/>
        </w:rPr>
        <w:t xml:space="preserve">Temuan ini lebih kuat daripada selisih statis pada Bagian 3.6 karena kontrak 18 fitur dan urutannya sama serta pipeline target benar-benar dibekukan; dua salinan ekstraktor dipakai pada eksperimen berbeda dan kesetaraan nilai keduanya tidak diverifikasi dalam artikel ini. Namun eksperimen tetap tidak menjelaskan </w:t>
      </w:r>
      <w:r>
        <w:rPr>
          <w:rFonts w:ascii="Times New Roman" w:hAnsi="Times New Roman" w:eastAsia="Times New Roman"/>
          <w:i/>
          <w:sz w:val="19"/>
        </w:rPr>
        <w:t>mengapa</w:t>
      </w:r>
      <w:r>
        <w:rPr>
          <w:rFonts w:ascii="Times New Roman" w:hAnsi="Times New Roman" w:eastAsia="Times New Roman"/>
          <w:sz w:val="19"/>
        </w:rPr>
        <w:t xml:space="preserve"> transfer gagal. Perbedaan vendor, periode, prevalensi, dan distribusi URL hadir bersamaan; klaim yang sah terbatas pada kegagalan portabilitas PhiUSIIL→PhreshPhish pada konfigurasi yang diuji.</w:t>
      </w:r>
    </w:p>
    <w:p>
      <w:pPr>
        <w:spacing w:after="60"/>
        <w:ind w:firstLine="283"/>
        <w:jc w:val="both"/>
      </w:pPr>
      <w:r>
        <w:rPr>
          <w:rFonts w:ascii="Times New Roman" w:hAnsi="Times New Roman" w:eastAsia="Times New Roman"/>
          <w:sz w:val="19"/>
        </w:rPr>
        <w:t xml:space="preserve">Uji arah sebaliknya dijalankan pada eksperimen 9 dengan prinsip yang sama: representasi A2, model yang dibekukan, dan ambang 0,5 tanpa penyesuaian pada target. Model dilatih hanya pada blok fit PhreshPhish (372.380 baris, 2 Juli 2024 sampai 30 Juni 2025), lalu diterapkan pada 235.370 baris PhiUSIIL hasil pembersihan. Kinerjanya juga buruk: F1 0,549564, FPR benign 0,897783, MCC −0,092320, dan ROC-AUC 0,642939. ROC-AUC di atas 0,5 menunjukkan pola pengurutan skor yang berbeda dari arah maju, sedangkan FPR 0,897783 menunjukkan ketidaksesuaian titik operasi pada kohort target: pada ambang beku 0,5, 89,8 % URL benign PhiUSIIL ditandai phishing. Sebagai pembanding titik, pengklasifikasi yang selalu memprediksi phishing pada korpus ini memperoleh F1 0,598529, sehingga F1 transfer terbalik pada ambang 0,5 berada di bawah baseline tersebut; perbandingan ini tidak berlaku untuk semua metrik atau semua ambang. Hasil ini tidak memisahkan kontribusi perubahan diskriminasi dari ketidaksesuaian kalibrasi, dan tidak menetapkan penyebab kegagalan transfer maupun menjamin bahwa kalibrasi ulang akan memulihkannya. Tumpang tindih URL persis antara blok latih dan target hanya 137 baris (0,058 %), sedangkan tumpang tindih registrable domain mencapai 21,6 % baris target; angka terakhir membatasi interpretasi dan tidak menyelamatkan kinerja. Interval bootstrap domain untuk arah balik tersedia pada artefak eksperimen 9 (F1 [0,512634; 0,586764], FPR [0,895279; 0,900180], MCC [−0,137850; −0,042795]; 1.000 replikasi, RNG seed 42, 175.509 domain). Eksperimen ini bukan evaluasi temporal karena PhiUSIIL tidak memiliki penanda waktu. Blok latih eksperimen ini berisi 372.380 baris, berbeda 167 baris dari 372.213 pada eksperimen ambang; rekonsiliasi menunjukkan selisih itu persis sama dengan jumlah duplikat URL kanonik di dalam jendela fit, karena eksperimen 9 melakukan deduplikasi pada string URL persis sedangkan jalur kanonik memakai kunci URL kanonik.</w:t>
      </w:r>
    </w:p>
    <w:p>
      <w:pPr>
        <w:pStyle w:val="Heading2"/>
        <w:ind w:firstLine="0"/>
        <w:jc w:val="left"/>
      </w:pPr>
      <w:r>
        <w:rPr>
          <w:rFonts w:ascii="Times New Roman" w:hAnsi="Times New Roman" w:eastAsia="Times New Roman"/>
          <w:sz w:val="20"/>
        </w:rPr>
        <w:t>3.8 Trade-off Ambang Operasional</w:t>
      </w:r>
    </w:p>
    <w:p>
      <w:pPr>
        <w:spacing w:after="60"/>
        <w:ind w:firstLine="283"/>
        <w:jc w:val="both"/>
      </w:pPr>
      <w:r>
        <w:rPr>
          <w:rFonts w:ascii="Times New Roman" w:hAnsi="Times New Roman" w:eastAsia="Times New Roman"/>
          <w:sz w:val="19"/>
        </w:rPr>
        <w:t>Tabel 8 menunjukkan hasil seed 13. Ambang dengan batas FPR dipilih hanya pada validasi, lalu diterapkan pada uji yang tidak berubah. Batas validasi tidak dipaksakan kembali pada uji; karena itu FPR uji dapat sedikit melampaui target.</w:t>
      </w:r>
      <w:r>
        <w:rPr>
          <w:rFonts w:ascii="Times New Roman" w:hAnsi="Times New Roman" w:eastAsia="Times New Roman"/>
          <w:sz w:val="19"/>
        </w:rPr>
        <w:t xml:space="preserve"> Model pada Tabel 8 dilatih ulang hanya pada blok fit, sehingga baris ambang bawaan 0,5 di sini tidak identik dengan Tabel 6; yang dibandingkan di dalam tabel ini adalah aturan ambang pada model yang sama.</w:t>
      </w:r>
    </w:p>
    <w:p>
      <w:pPr>
        <w:keepNext/>
        <w:spacing w:after="60"/>
        <w:ind w:firstLine="0"/>
        <w:jc w:val="center"/>
      </w:pPr>
      <w:r>
        <w:rPr>
          <w:rFonts w:ascii="Times New Roman" w:hAnsi="Times New Roman" w:eastAsia="Times New Roman"/>
          <w:b/>
          <w:sz w:val="17"/>
        </w:rPr>
        <w:t>Tabel 8.</w:t>
      </w:r>
      <w:r>
        <w:rPr>
          <w:rFonts w:ascii="Times New Roman" w:hAnsi="Times New Roman" w:eastAsia="Times New Roman"/>
          <w:sz w:val="17"/>
        </w:rPr>
        <w:t xml:space="preserve"> Ambang berbasis validasi dan hasil uji temporal PhreshPhish, LightGBM/A2 seed 13.</w:t>
      </w:r>
      <w:r>
        <w:rPr>
          <w:rFonts w:ascii="Times New Roman" w:hAnsi="Times New Roman" w:eastAsia="Times New Roman"/>
          <w:sz w:val="17"/>
        </w:rPr>
        <w:t xml:space="preserve"> Model dilatih ulang hanya pada blok fit (372.213 baris); ambang dipilih pada blok validasi (125.146 baris) dan diterapkan sekali pada 168.035 baris uji.</w:t>
      </w:r>
    </w:p>
    <w:tbl>
      <w:tblPr>
        <w:tblStyle w:val="TableGrid"/>
        <w:tblW w:type="auto" w:w="0"/>
        <w:jc w:val="center"/>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rPr>
          <w:cantSplit/>
          <w:tblHeader w:val="true"/>
        </w:trPr>
        <w:tc>
          <w:tcPr>
            <w:tcW w:type="dxa" w:w="1039"/>
            <w:vAlign w:val="center"/>
          </w:tcPr>
          <w:p>
            <w:pPr>
              <w:spacing w:after="0"/>
              <w:ind w:firstLine="0"/>
              <w:jc w:val="center"/>
            </w:pPr>
            <w:r>
              <w:rPr>
                <w:rFonts w:ascii="Times New Roman" w:hAnsi="Times New Roman" w:eastAsia="Times New Roman"/>
                <w:b/>
                <w:sz w:val="14"/>
              </w:rPr>
              <w:t>Aturan</w:t>
            </w:r>
          </w:p>
        </w:tc>
        <w:tc>
          <w:tcPr>
            <w:tcW w:type="dxa" w:w="1039"/>
            <w:vAlign w:val="center"/>
          </w:tcPr>
          <w:p>
            <w:pPr>
              <w:spacing w:after="0"/>
              <w:ind w:firstLine="0"/>
              <w:jc w:val="center"/>
            </w:pPr>
            <w:r>
              <w:rPr>
                <w:rFonts w:ascii="Times New Roman" w:hAnsi="Times New Roman" w:eastAsia="Times New Roman"/>
                <w:b/>
                <w:sz w:val="14"/>
              </w:rPr>
              <w:t>Ambang</w:t>
            </w:r>
          </w:p>
        </w:tc>
        <w:tc>
          <w:tcPr>
            <w:tcW w:type="dxa" w:w="1039"/>
            <w:vAlign w:val="center"/>
          </w:tcPr>
          <w:p>
            <w:pPr>
              <w:spacing w:after="0"/>
              <w:ind w:firstLine="0"/>
              <w:jc w:val="center"/>
            </w:pPr>
            <w:r>
              <w:rPr>
                <w:rFonts w:ascii="Times New Roman" w:hAnsi="Times New Roman" w:eastAsia="Times New Roman"/>
                <w:b/>
                <w:sz w:val="14"/>
              </w:rPr>
              <w:t>F1 phish</w:t>
            </w:r>
          </w:p>
        </w:tc>
        <w:tc>
          <w:tcPr>
            <w:tcW w:type="dxa" w:w="1039"/>
            <w:vAlign w:val="center"/>
          </w:tcPr>
          <w:p>
            <w:pPr>
              <w:spacing w:after="0"/>
              <w:ind w:firstLine="0"/>
              <w:jc w:val="center"/>
            </w:pPr>
            <w:r>
              <w:rPr>
                <w:rFonts w:ascii="Times New Roman" w:hAnsi="Times New Roman" w:eastAsia="Times New Roman"/>
                <w:b/>
                <w:sz w:val="14"/>
              </w:rPr>
              <w:t>Precision</w:t>
            </w:r>
          </w:p>
        </w:tc>
        <w:tc>
          <w:tcPr>
            <w:tcW w:type="dxa" w:w="1039"/>
            <w:vAlign w:val="center"/>
          </w:tcPr>
          <w:p>
            <w:pPr>
              <w:spacing w:after="0"/>
              <w:ind w:firstLine="0"/>
              <w:jc w:val="center"/>
            </w:pPr>
            <w:r>
              <w:rPr>
                <w:rFonts w:ascii="Times New Roman" w:hAnsi="Times New Roman" w:eastAsia="Times New Roman"/>
                <w:b/>
                <w:sz w:val="14"/>
              </w:rPr>
              <w:t>Recall</w:t>
            </w:r>
          </w:p>
        </w:tc>
        <w:tc>
          <w:tcPr>
            <w:tcW w:type="dxa" w:w="1039"/>
            <w:vAlign w:val="center"/>
          </w:tcPr>
          <w:p>
            <w:pPr>
              <w:spacing w:after="0"/>
              <w:ind w:firstLine="0"/>
              <w:jc w:val="center"/>
            </w:pPr>
            <w:r>
              <w:rPr>
                <w:rFonts w:ascii="Times New Roman" w:hAnsi="Times New Roman" w:eastAsia="Times New Roman"/>
                <w:b/>
                <w:sz w:val="14"/>
              </w:rPr>
              <w:t>FPR benign</w:t>
            </w:r>
          </w:p>
        </w:tc>
        <w:tc>
          <w:tcPr>
            <w:tcW w:type="dxa" w:w="1039"/>
            <w:vAlign w:val="center"/>
          </w:tcPr>
          <w:p>
            <w:pPr>
              <w:spacing w:after="0"/>
              <w:ind w:firstLine="0"/>
              <w:jc w:val="center"/>
            </w:pPr>
            <w:r>
              <w:rPr>
                <w:rFonts w:ascii="Times New Roman" w:hAnsi="Times New Roman" w:eastAsia="Times New Roman"/>
                <w:b/>
                <w:sz w:val="14"/>
              </w:rPr>
              <w:t>FN</w:t>
            </w:r>
          </w:p>
        </w:tc>
        <w:tc>
          <w:tcPr>
            <w:tcW w:type="dxa" w:w="1039"/>
            <w:vAlign w:val="center"/>
          </w:tcPr>
          <w:p>
            <w:pPr>
              <w:spacing w:after="0"/>
              <w:ind w:firstLine="0"/>
              <w:jc w:val="center"/>
            </w:pPr>
            <w:r>
              <w:rPr>
                <w:rFonts w:ascii="Times New Roman" w:hAnsi="Times New Roman" w:eastAsia="Times New Roman"/>
                <w:b/>
                <w:sz w:val="14"/>
              </w:rPr>
              <w:t>FP</w:t>
            </w:r>
          </w:p>
        </w:tc>
        <w:tc>
          <w:tcPr>
            <w:tcW w:type="dxa" w:w="1039"/>
            <w:vAlign w:val="center"/>
          </w:tcPr>
          <w:p>
            <w:pPr>
              <w:spacing w:after="0"/>
              <w:ind w:firstLine="0"/>
              <w:jc w:val="center"/>
            </w:pPr>
            <w:r>
              <w:rPr>
                <w:rFonts w:ascii="Times New Roman" w:hAnsi="Times New Roman" w:eastAsia="Times New Roman"/>
                <w:b/>
                <w:sz w:val="14"/>
              </w:rPr>
              <w:t>MCC</w:t>
            </w:r>
          </w:p>
        </w:tc>
      </w:tr>
      <w:tr>
        <w:trPr>
          <w:cantSplit/>
        </w:trPr>
        <w:tc>
          <w:tcPr>
            <w:tcW w:type="dxa" w:w="1039"/>
            <w:vAlign w:val="center"/>
          </w:tcPr>
          <w:p>
            <w:pPr>
              <w:spacing w:after="0"/>
              <w:ind w:firstLine="0"/>
              <w:jc w:val="left"/>
            </w:pPr>
            <w:r>
              <w:rPr>
                <w:rFonts w:ascii="Times New Roman" w:hAnsi="Times New Roman" w:eastAsia="Times New Roman"/>
                <w:sz w:val="14"/>
              </w:rPr>
              <w:t>Bawaan 0,5</w:t>
            </w:r>
          </w:p>
        </w:tc>
        <w:tc>
          <w:tcPr>
            <w:tcW w:type="dxa" w:w="1039"/>
            <w:vAlign w:val="center"/>
          </w:tcPr>
          <w:p>
            <w:pPr>
              <w:spacing w:after="0"/>
              <w:ind w:firstLine="0"/>
              <w:jc w:val="center"/>
            </w:pPr>
            <w:r>
              <w:rPr>
                <w:rFonts w:ascii="Times New Roman" w:hAnsi="Times New Roman" w:eastAsia="Times New Roman"/>
                <w:sz w:val="14"/>
              </w:rPr>
              <w:t>0,500000</w:t>
            </w:r>
          </w:p>
        </w:tc>
        <w:tc>
          <w:tcPr>
            <w:tcW w:type="dxa" w:w="1039"/>
            <w:vAlign w:val="center"/>
          </w:tcPr>
          <w:p>
            <w:pPr>
              <w:spacing w:after="0"/>
              <w:ind w:firstLine="0"/>
              <w:jc w:val="center"/>
            </w:pPr>
            <w:r>
              <w:rPr>
                <w:rFonts w:ascii="Times New Roman" w:hAnsi="Times New Roman" w:eastAsia="Times New Roman"/>
                <w:sz w:val="14"/>
              </w:rPr>
              <w:t>0,806999</w:t>
            </w:r>
          </w:p>
        </w:tc>
        <w:tc>
          <w:tcPr>
            <w:tcW w:type="dxa" w:w="1039"/>
            <w:vAlign w:val="center"/>
          </w:tcPr>
          <w:p>
            <w:pPr>
              <w:spacing w:after="0"/>
              <w:ind w:firstLine="0"/>
              <w:jc w:val="center"/>
            </w:pPr>
            <w:r>
              <w:rPr>
                <w:rFonts w:ascii="Times New Roman" w:hAnsi="Times New Roman" w:eastAsia="Times New Roman"/>
                <w:sz w:val="14"/>
              </w:rPr>
              <w:t>0,890301</w:t>
            </w:r>
          </w:p>
        </w:tc>
        <w:tc>
          <w:tcPr>
            <w:tcW w:type="dxa" w:w="1039"/>
            <w:vAlign w:val="center"/>
          </w:tcPr>
          <w:p>
            <w:pPr>
              <w:spacing w:after="0"/>
              <w:ind w:firstLine="0"/>
              <w:jc w:val="center"/>
            </w:pPr>
            <w:r>
              <w:rPr>
                <w:rFonts w:ascii="Times New Roman" w:hAnsi="Times New Roman" w:eastAsia="Times New Roman"/>
                <w:sz w:val="14"/>
              </w:rPr>
              <w:t>0,737952</w:t>
            </w:r>
          </w:p>
        </w:tc>
        <w:tc>
          <w:tcPr>
            <w:tcW w:type="dxa" w:w="1039"/>
            <w:vAlign w:val="center"/>
          </w:tcPr>
          <w:p>
            <w:pPr>
              <w:spacing w:after="0"/>
              <w:ind w:firstLine="0"/>
              <w:jc w:val="center"/>
            </w:pPr>
            <w:r>
              <w:rPr>
                <w:rFonts w:ascii="Times New Roman" w:hAnsi="Times New Roman" w:eastAsia="Times New Roman"/>
                <w:sz w:val="14"/>
              </w:rPr>
              <w:t>0,076497</w:t>
            </w:r>
          </w:p>
        </w:tc>
        <w:tc>
          <w:tcPr>
            <w:tcW w:type="dxa" w:w="1039"/>
            <w:vAlign w:val="center"/>
          </w:tcPr>
          <w:p>
            <w:pPr>
              <w:spacing w:after="0"/>
              <w:ind w:firstLine="0"/>
              <w:jc w:val="center"/>
            </w:pPr>
            <w:r>
              <w:rPr>
                <w:rFonts w:ascii="Times New Roman" w:hAnsi="Times New Roman" w:eastAsia="Times New Roman"/>
                <w:sz w:val="14"/>
              </w:rPr>
              <w:t>20.119</w:t>
            </w:r>
          </w:p>
        </w:tc>
        <w:tc>
          <w:tcPr>
            <w:tcW w:type="dxa" w:w="1039"/>
            <w:vAlign w:val="center"/>
          </w:tcPr>
          <w:p>
            <w:pPr>
              <w:spacing w:after="0"/>
              <w:ind w:firstLine="0"/>
              <w:jc w:val="center"/>
            </w:pPr>
            <w:r>
              <w:rPr>
                <w:rFonts w:ascii="Times New Roman" w:hAnsi="Times New Roman" w:eastAsia="Times New Roman"/>
                <w:sz w:val="14"/>
              </w:rPr>
              <w:t>6.981</w:t>
            </w:r>
          </w:p>
        </w:tc>
        <w:tc>
          <w:tcPr>
            <w:tcW w:type="dxa" w:w="1039"/>
            <w:vAlign w:val="center"/>
          </w:tcPr>
          <w:p>
            <w:pPr>
              <w:spacing w:after="0"/>
              <w:ind w:firstLine="0"/>
              <w:jc w:val="center"/>
            </w:pPr>
            <w:r>
              <w:rPr>
                <w:rFonts w:ascii="Times New Roman" w:hAnsi="Times New Roman" w:eastAsia="Times New Roman"/>
                <w:sz w:val="14"/>
              </w:rPr>
              <w:t>0,679280</w:t>
            </w:r>
          </w:p>
        </w:tc>
      </w:tr>
      <w:tr>
        <w:trPr>
          <w:cantSplit/>
        </w:trPr>
        <w:tc>
          <w:tcPr>
            <w:tcW w:type="dxa" w:w="1039"/>
            <w:vAlign w:val="center"/>
          </w:tcPr>
          <w:p>
            <w:pPr>
              <w:spacing w:after="0"/>
              <w:ind w:firstLine="0"/>
              <w:jc w:val="left"/>
            </w:pPr>
            <w:r>
              <w:rPr>
                <w:rFonts w:ascii="Times New Roman" w:hAnsi="Times New Roman" w:eastAsia="Times New Roman"/>
                <w:sz w:val="14"/>
              </w:rPr>
              <w:t>FPR validasi ≤1%</w:t>
            </w:r>
          </w:p>
        </w:tc>
        <w:tc>
          <w:tcPr>
            <w:tcW w:type="dxa" w:w="1039"/>
            <w:vAlign w:val="center"/>
          </w:tcPr>
          <w:p>
            <w:pPr>
              <w:spacing w:after="0"/>
              <w:ind w:firstLine="0"/>
              <w:jc w:val="center"/>
            </w:pPr>
            <w:r>
              <w:rPr>
                <w:rFonts w:ascii="Times New Roman" w:hAnsi="Times New Roman" w:eastAsia="Times New Roman"/>
                <w:sz w:val="14"/>
              </w:rPr>
              <w:t>0,884705</w:t>
            </w:r>
          </w:p>
        </w:tc>
        <w:tc>
          <w:tcPr>
            <w:tcW w:type="dxa" w:w="1039"/>
            <w:vAlign w:val="center"/>
          </w:tcPr>
          <w:p>
            <w:pPr>
              <w:spacing w:after="0"/>
              <w:ind w:firstLine="0"/>
              <w:jc w:val="center"/>
            </w:pPr>
            <w:r>
              <w:rPr>
                <w:rFonts w:ascii="Times New Roman" w:hAnsi="Times New Roman" w:eastAsia="Times New Roman"/>
                <w:sz w:val="14"/>
              </w:rPr>
              <w:t>0,698557</w:t>
            </w:r>
          </w:p>
        </w:tc>
        <w:tc>
          <w:tcPr>
            <w:tcW w:type="dxa" w:w="1039"/>
            <w:vAlign w:val="center"/>
          </w:tcPr>
          <w:p>
            <w:pPr>
              <w:spacing w:after="0"/>
              <w:ind w:firstLine="0"/>
              <w:jc w:val="center"/>
            </w:pPr>
            <w:r>
              <w:rPr>
                <w:rFonts w:ascii="Times New Roman" w:hAnsi="Times New Roman" w:eastAsia="Times New Roman"/>
                <w:sz w:val="14"/>
              </w:rPr>
              <w:t>0,975796</w:t>
            </w:r>
          </w:p>
        </w:tc>
        <w:tc>
          <w:tcPr>
            <w:tcW w:type="dxa" w:w="1039"/>
            <w:vAlign w:val="center"/>
          </w:tcPr>
          <w:p>
            <w:pPr>
              <w:spacing w:after="0"/>
              <w:ind w:firstLine="0"/>
              <w:jc w:val="center"/>
            </w:pPr>
            <w:r>
              <w:rPr>
                <w:rFonts w:ascii="Times New Roman" w:hAnsi="Times New Roman" w:eastAsia="Times New Roman"/>
                <w:sz w:val="14"/>
              </w:rPr>
              <w:t>0,543998</w:t>
            </w:r>
          </w:p>
        </w:tc>
        <w:tc>
          <w:tcPr>
            <w:tcW w:type="dxa" w:w="1039"/>
            <w:vAlign w:val="center"/>
          </w:tcPr>
          <w:p>
            <w:pPr>
              <w:spacing w:after="0"/>
              <w:ind w:firstLine="0"/>
              <w:jc w:val="center"/>
            </w:pPr>
            <w:r>
              <w:rPr>
                <w:rFonts w:ascii="Times New Roman" w:hAnsi="Times New Roman" w:eastAsia="Times New Roman"/>
                <w:sz w:val="14"/>
              </w:rPr>
              <w:t>0,011352</w:t>
            </w:r>
          </w:p>
        </w:tc>
        <w:tc>
          <w:tcPr>
            <w:tcW w:type="dxa" w:w="1039"/>
            <w:vAlign w:val="center"/>
          </w:tcPr>
          <w:p>
            <w:pPr>
              <w:spacing w:after="0"/>
              <w:ind w:firstLine="0"/>
              <w:jc w:val="center"/>
            </w:pPr>
            <w:r>
              <w:rPr>
                <w:rFonts w:ascii="Times New Roman" w:hAnsi="Times New Roman" w:eastAsia="Times New Roman"/>
                <w:sz w:val="14"/>
              </w:rPr>
              <w:t>35.010</w:t>
            </w:r>
          </w:p>
        </w:tc>
        <w:tc>
          <w:tcPr>
            <w:tcW w:type="dxa" w:w="1039"/>
            <w:vAlign w:val="center"/>
          </w:tcPr>
          <w:p>
            <w:pPr>
              <w:spacing w:after="0"/>
              <w:ind w:firstLine="0"/>
              <w:jc w:val="center"/>
            </w:pPr>
            <w:r>
              <w:rPr>
                <w:rFonts w:ascii="Times New Roman" w:hAnsi="Times New Roman" w:eastAsia="Times New Roman"/>
                <w:sz w:val="14"/>
              </w:rPr>
              <w:t>1.036</w:t>
            </w:r>
          </w:p>
        </w:tc>
        <w:tc>
          <w:tcPr>
            <w:tcW w:type="dxa" w:w="1039"/>
            <w:vAlign w:val="center"/>
          </w:tcPr>
          <w:p>
            <w:pPr>
              <w:spacing w:after="0"/>
              <w:ind w:firstLine="0"/>
              <w:jc w:val="center"/>
            </w:pPr>
            <w:r>
              <w:rPr>
                <w:rFonts w:ascii="Times New Roman" w:hAnsi="Times New Roman" w:eastAsia="Times New Roman"/>
                <w:sz w:val="14"/>
              </w:rPr>
              <w:t>0,608973</w:t>
            </w:r>
          </w:p>
        </w:tc>
      </w:tr>
      <w:tr>
        <w:trPr>
          <w:cantSplit/>
        </w:trPr>
        <w:tc>
          <w:tcPr>
            <w:tcW w:type="dxa" w:w="1039"/>
            <w:vAlign w:val="center"/>
          </w:tcPr>
          <w:p>
            <w:pPr>
              <w:spacing w:after="0"/>
              <w:ind w:firstLine="0"/>
              <w:jc w:val="left"/>
            </w:pPr>
            <w:r>
              <w:rPr>
                <w:rFonts w:ascii="Times New Roman" w:hAnsi="Times New Roman" w:eastAsia="Times New Roman"/>
                <w:sz w:val="14"/>
              </w:rPr>
              <w:t>FPR validasi ≤0,5%</w:t>
            </w:r>
          </w:p>
        </w:tc>
        <w:tc>
          <w:tcPr>
            <w:tcW w:type="dxa" w:w="1039"/>
            <w:vAlign w:val="center"/>
          </w:tcPr>
          <w:p>
            <w:pPr>
              <w:spacing w:after="0"/>
              <w:ind w:firstLine="0"/>
              <w:jc w:val="center"/>
            </w:pPr>
            <w:r>
              <w:rPr>
                <w:rFonts w:ascii="Times New Roman" w:hAnsi="Times New Roman" w:eastAsia="Times New Roman"/>
                <w:sz w:val="14"/>
              </w:rPr>
              <w:t>0,937870</w:t>
            </w:r>
          </w:p>
        </w:tc>
        <w:tc>
          <w:tcPr>
            <w:tcW w:type="dxa" w:w="1039"/>
            <w:vAlign w:val="center"/>
          </w:tcPr>
          <w:p>
            <w:pPr>
              <w:spacing w:after="0"/>
              <w:ind w:firstLine="0"/>
              <w:jc w:val="center"/>
            </w:pPr>
            <w:r>
              <w:rPr>
                <w:rFonts w:ascii="Times New Roman" w:hAnsi="Times New Roman" w:eastAsia="Times New Roman"/>
                <w:sz w:val="14"/>
              </w:rPr>
              <w:t>0,641062</w:t>
            </w:r>
          </w:p>
        </w:tc>
        <w:tc>
          <w:tcPr>
            <w:tcW w:type="dxa" w:w="1039"/>
            <w:vAlign w:val="center"/>
          </w:tcPr>
          <w:p>
            <w:pPr>
              <w:spacing w:after="0"/>
              <w:ind w:firstLine="0"/>
              <w:jc w:val="center"/>
            </w:pPr>
            <w:r>
              <w:rPr>
                <w:rFonts w:ascii="Times New Roman" w:hAnsi="Times New Roman" w:eastAsia="Times New Roman"/>
                <w:sz w:val="14"/>
              </w:rPr>
              <w:t>0,985569</w:t>
            </w:r>
          </w:p>
        </w:tc>
        <w:tc>
          <w:tcPr>
            <w:tcW w:type="dxa" w:w="1039"/>
            <w:vAlign w:val="center"/>
          </w:tcPr>
          <w:p>
            <w:pPr>
              <w:spacing w:after="0"/>
              <w:ind w:firstLine="0"/>
              <w:jc w:val="center"/>
            </w:pPr>
            <w:r>
              <w:rPr>
                <w:rFonts w:ascii="Times New Roman" w:hAnsi="Times New Roman" w:eastAsia="Times New Roman"/>
                <w:sz w:val="14"/>
              </w:rPr>
              <w:t>0,475018</w:t>
            </w:r>
          </w:p>
        </w:tc>
        <w:tc>
          <w:tcPr>
            <w:tcW w:type="dxa" w:w="1039"/>
            <w:vAlign w:val="center"/>
          </w:tcPr>
          <w:p>
            <w:pPr>
              <w:spacing w:after="0"/>
              <w:ind w:firstLine="0"/>
              <w:jc w:val="center"/>
            </w:pPr>
            <w:r>
              <w:rPr>
                <w:rFonts w:ascii="Times New Roman" w:hAnsi="Times New Roman" w:eastAsia="Times New Roman"/>
                <w:sz w:val="14"/>
              </w:rPr>
              <w:t>0,005851</w:t>
            </w:r>
          </w:p>
        </w:tc>
        <w:tc>
          <w:tcPr>
            <w:tcW w:type="dxa" w:w="1039"/>
            <w:vAlign w:val="center"/>
          </w:tcPr>
          <w:p>
            <w:pPr>
              <w:spacing w:after="0"/>
              <w:ind w:firstLine="0"/>
              <w:jc w:val="center"/>
            </w:pPr>
            <w:r>
              <w:rPr>
                <w:rFonts w:ascii="Times New Roman" w:hAnsi="Times New Roman" w:eastAsia="Times New Roman"/>
                <w:sz w:val="14"/>
              </w:rPr>
              <w:t>40.306</w:t>
            </w:r>
          </w:p>
        </w:tc>
        <w:tc>
          <w:tcPr>
            <w:tcW w:type="dxa" w:w="1039"/>
            <w:vAlign w:val="center"/>
          </w:tcPr>
          <w:p>
            <w:pPr>
              <w:spacing w:after="0"/>
              <w:ind w:firstLine="0"/>
              <w:jc w:val="center"/>
            </w:pPr>
            <w:r>
              <w:rPr>
                <w:rFonts w:ascii="Times New Roman" w:hAnsi="Times New Roman" w:eastAsia="Times New Roman"/>
                <w:sz w:val="14"/>
              </w:rPr>
              <w:t>534</w:t>
            </w:r>
          </w:p>
        </w:tc>
        <w:tc>
          <w:tcPr>
            <w:tcW w:type="dxa" w:w="1039"/>
            <w:vAlign w:val="center"/>
          </w:tcPr>
          <w:p>
            <w:pPr>
              <w:spacing w:after="0"/>
              <w:ind w:firstLine="0"/>
              <w:jc w:val="center"/>
            </w:pPr>
            <w:r>
              <w:rPr>
                <w:rFonts w:ascii="Times New Roman" w:hAnsi="Times New Roman" w:eastAsia="Times New Roman"/>
                <w:sz w:val="14"/>
              </w:rPr>
              <w:t>0,563984</w:t>
            </w:r>
          </w:p>
        </w:tc>
      </w:tr>
      <w:tr>
        <w:trPr>
          <w:cantSplit/>
        </w:trPr>
        <w:tc>
          <w:tcPr>
            <w:tcW w:type="dxa" w:w="1039"/>
            <w:vAlign w:val="center"/>
          </w:tcPr>
          <w:p>
            <w:pPr>
              <w:spacing w:after="0"/>
              <w:ind w:firstLine="0"/>
              <w:jc w:val="left"/>
            </w:pPr>
            <w:r>
              <w:rPr>
                <w:rFonts w:ascii="Times New Roman" w:hAnsi="Times New Roman" w:eastAsia="Times New Roman"/>
                <w:sz w:val="14"/>
              </w:rPr>
              <w:t>F1 validasi maksimum</w:t>
            </w:r>
          </w:p>
        </w:tc>
        <w:tc>
          <w:tcPr>
            <w:tcW w:type="dxa" w:w="1039"/>
            <w:vAlign w:val="center"/>
          </w:tcPr>
          <w:p>
            <w:pPr>
              <w:spacing w:after="0"/>
              <w:ind w:firstLine="0"/>
              <w:jc w:val="center"/>
            </w:pPr>
            <w:r>
              <w:rPr>
                <w:rFonts w:ascii="Times New Roman" w:hAnsi="Times New Roman" w:eastAsia="Times New Roman"/>
                <w:sz w:val="14"/>
              </w:rPr>
              <w:t>0,489218</w:t>
            </w:r>
          </w:p>
        </w:tc>
        <w:tc>
          <w:tcPr>
            <w:tcW w:type="dxa" w:w="1039"/>
            <w:vAlign w:val="center"/>
          </w:tcPr>
          <w:p>
            <w:pPr>
              <w:spacing w:after="0"/>
              <w:ind w:firstLine="0"/>
              <w:jc w:val="center"/>
            </w:pPr>
            <w:r>
              <w:rPr>
                <w:rFonts w:ascii="Times New Roman" w:hAnsi="Times New Roman" w:eastAsia="Times New Roman"/>
                <w:sz w:val="14"/>
              </w:rPr>
              <w:t>0,807150</w:t>
            </w:r>
          </w:p>
        </w:tc>
        <w:tc>
          <w:tcPr>
            <w:tcW w:type="dxa" w:w="1039"/>
            <w:vAlign w:val="center"/>
          </w:tcPr>
          <w:p>
            <w:pPr>
              <w:spacing w:after="0"/>
              <w:ind w:firstLine="0"/>
              <w:jc w:val="center"/>
            </w:pPr>
            <w:r>
              <w:rPr>
                <w:rFonts w:ascii="Times New Roman" w:hAnsi="Times New Roman" w:eastAsia="Times New Roman"/>
                <w:sz w:val="14"/>
              </w:rPr>
              <w:t>0,886566</w:t>
            </w:r>
          </w:p>
        </w:tc>
        <w:tc>
          <w:tcPr>
            <w:tcW w:type="dxa" w:w="1039"/>
            <w:vAlign w:val="center"/>
          </w:tcPr>
          <w:p>
            <w:pPr>
              <w:spacing w:after="0"/>
              <w:ind w:firstLine="0"/>
              <w:jc w:val="center"/>
            </w:pPr>
            <w:r>
              <w:rPr>
                <w:rFonts w:ascii="Times New Roman" w:hAnsi="Times New Roman" w:eastAsia="Times New Roman"/>
                <w:sz w:val="14"/>
              </w:rPr>
              <w:t>0,740791</w:t>
            </w:r>
          </w:p>
        </w:tc>
        <w:tc>
          <w:tcPr>
            <w:tcW w:type="dxa" w:w="1039"/>
            <w:vAlign w:val="center"/>
          </w:tcPr>
          <w:p>
            <w:pPr>
              <w:spacing w:after="0"/>
              <w:ind w:firstLine="0"/>
              <w:jc w:val="center"/>
            </w:pPr>
            <w:r>
              <w:rPr>
                <w:rFonts w:ascii="Times New Roman" w:hAnsi="Times New Roman" w:eastAsia="Times New Roman"/>
                <w:sz w:val="14"/>
              </w:rPr>
              <w:t>0,079740</w:t>
            </w:r>
          </w:p>
        </w:tc>
        <w:tc>
          <w:tcPr>
            <w:tcW w:type="dxa" w:w="1039"/>
            <w:vAlign w:val="center"/>
          </w:tcPr>
          <w:p>
            <w:pPr>
              <w:spacing w:after="0"/>
              <w:ind w:firstLine="0"/>
              <w:jc w:val="center"/>
            </w:pPr>
            <w:r>
              <w:rPr>
                <w:rFonts w:ascii="Times New Roman" w:hAnsi="Times New Roman" w:eastAsia="Times New Roman"/>
                <w:sz w:val="14"/>
              </w:rPr>
              <w:t>19.901</w:t>
            </w:r>
          </w:p>
        </w:tc>
        <w:tc>
          <w:tcPr>
            <w:tcW w:type="dxa" w:w="1039"/>
            <w:vAlign w:val="center"/>
          </w:tcPr>
          <w:p>
            <w:pPr>
              <w:spacing w:after="0"/>
              <w:ind w:firstLine="0"/>
              <w:jc w:val="center"/>
            </w:pPr>
            <w:r>
              <w:rPr>
                <w:rFonts w:ascii="Times New Roman" w:hAnsi="Times New Roman" w:eastAsia="Times New Roman"/>
                <w:sz w:val="14"/>
              </w:rPr>
              <w:t>7.277</w:t>
            </w:r>
          </w:p>
        </w:tc>
        <w:tc>
          <w:tcPr>
            <w:tcW w:type="dxa" w:w="1039"/>
            <w:vAlign w:val="center"/>
          </w:tcPr>
          <w:p>
            <w:pPr>
              <w:spacing w:after="0"/>
              <w:ind w:firstLine="0"/>
              <w:jc w:val="center"/>
            </w:pPr>
            <w:r>
              <w:rPr>
                <w:rFonts w:ascii="Times New Roman" w:hAnsi="Times New Roman" w:eastAsia="Times New Roman"/>
                <w:sz w:val="14"/>
              </w:rPr>
              <w:t>0,677811</w:t>
            </w:r>
          </w:p>
        </w:tc>
      </w:tr>
    </w:tbl>
    <w:p>
      <w:pPr>
        <w:spacing w:after="20"/>
        <w:ind w:firstLine="0"/>
      </w:pPr>
    </w:p>
    <w:p>
      <w:pPr>
        <w:spacing w:after="60"/>
        <w:ind w:firstLine="283"/>
        <w:jc w:val="both"/>
      </w:pPr>
      <w:r>
        <w:rPr>
          <w:rFonts w:ascii="Times New Roman" w:hAnsi="Times New Roman" w:eastAsia="Times New Roman"/>
          <w:sz w:val="19"/>
        </w:rPr>
        <w:t>Menurunkan FPR uji dari 7,65% menjadi 1,14% mengurangi alarm palsu dari 765 menjadi 114 per 10.000 URL benign, tetapi recall turun dari 0,738 menjadi 0,544 (Gambar 2b). Target validasi 0,5% menghasilkan FPR uji 0,585% dan recall 0,475. Pola lima seed konsisten: aturan 1% menghasilkan rerata F1 0,700739, recall 0,546658, dan FPR 0,011365; aturan 0,5% menghasilkan rerata F1 0,646167, recall 0,480645, dan FPR 0,005843. Ambang tidak memperbaiki diskriminasi model; ambang hanya memindahkan biaya antara FP dan FN.</w:t>
      </w:r>
      <w:r>
        <w:rPr>
          <w:rFonts w:ascii="Times New Roman" w:hAnsi="Times New Roman" w:eastAsia="Times New Roman"/>
          <w:sz w:val="19"/>
        </w:rPr>
        <w:t xml:space="preserve"> Pola ini konsisten dengan peringatan base-rate bahwa FPR kecil tidak menjamin proporsi alarm palsu yang kecil [21], dan dengan posisi bahwa precision-recall lebih informatif daripada ROC pada data tidak seimbang [22]; literatur khusus pemilihan ambang berbasis biaya tidak disintesis di sini.</w:t>
      </w:r>
    </w:p>
    <w:p>
      <w:pPr>
        <w:keepNext/>
        <w:spacing w:after="40" w:before="60"/>
        <w:ind w:firstLine="0"/>
        <w:jc w:val="center"/>
      </w:pPr>
      <w:r>
        <w:drawing>
          <wp:inline xmlns:a="http://schemas.openxmlformats.org/drawingml/2006/main" xmlns:pic="http://schemas.openxmlformats.org/drawingml/2006/picture">
            <wp:extent cx="5544000" cy="2232784"/>
            <wp:docPr id="2" name="Picture 2" title="figure_2_generalization_thresholds_v8" descr="Perbandingan F1 dan FPR pada tiga konteks evaluasi serta trade-off recall dan FPR untuk ambang berbasis validasi."/>
            <wp:cNvGraphicFramePr>
              <a:graphicFrameLocks noChangeAspect="1"/>
            </wp:cNvGraphicFramePr>
            <a:graphic>
              <a:graphicData uri="http://schemas.openxmlformats.org/drawingml/2006/picture">
                <pic:pic>
                  <pic:nvPicPr>
                    <pic:cNvPr id="0" name="figure_2_generalization_thresholds_v8.png"/>
                    <pic:cNvPicPr/>
                  </pic:nvPicPr>
                  <pic:blipFill>
                    <a:blip r:embed="rId14"/>
                    <a:stretch>
                      <a:fillRect/>
                    </a:stretch>
                  </pic:blipFill>
                  <pic:spPr>
                    <a:xfrm>
                      <a:off x="0" y="0"/>
                      <a:ext cx="5544000" cy="2232784"/>
                    </a:xfrm>
                    <a:prstGeom prst="rect"/>
                  </pic:spPr>
                </pic:pic>
              </a:graphicData>
            </a:graphic>
          </wp:inline>
        </w:drawing>
      </w:r>
    </w:p>
    <w:p>
      <w:pPr>
        <w:spacing w:after="60"/>
        <w:ind w:firstLine="283"/>
        <w:jc w:val="both"/>
      </w:pPr>
      <w:r>
        <w:rPr>
          <w:rFonts w:ascii="Times New Roman" w:hAnsi="Times New Roman" w:eastAsia="Times New Roman"/>
          <w:b/>
          <w:sz w:val="19"/>
        </w:rPr>
        <w:t>Gambar 2.</w:t>
      </w:r>
      <w:r>
        <w:rPr>
          <w:rFonts w:ascii="Times New Roman" w:hAnsi="Times New Roman" w:eastAsia="Times New Roman"/>
          <w:sz w:val="19"/>
        </w:rPr>
        <w:t xml:space="preserve"> (a) F1 phishing dan FPR benign pada tiga konteks evaluasi seed utama; perbedaan bersifat deskriptif dan tidak mengidentifikasi mekanisme kausal saturasi karena protokol dan korpus tidak identik. (b) Trade-off recall–FPR pada kohort uji untuk empat ambang LightGBM seed 13 yang ditetapkan pada validasi. Titik dengan FPR lebih rendah mengorbankan recall secara substansial.</w:t>
      </w:r>
    </w:p>
    <w:p>
      <w:pPr>
        <w:pStyle w:val="Heading2"/>
        <w:ind w:firstLine="0"/>
        <w:jc w:val="left"/>
      </w:pPr>
      <w:r>
        <w:rPr>
          <w:rFonts w:ascii="Times New Roman" w:hAnsi="Times New Roman" w:eastAsia="Times New Roman"/>
          <w:sz w:val="20"/>
        </w:rPr>
        <w:t>3.9 Taksonomi Galat</w:t>
      </w:r>
    </w:p>
    <w:p>
      <w:pPr>
        <w:spacing w:after="60"/>
        <w:ind w:firstLine="283"/>
        <w:jc w:val="both"/>
      </w:pPr>
      <w:r>
        <w:rPr>
          <w:rFonts w:ascii="Times New Roman" w:hAnsi="Times New Roman" w:eastAsia="Times New Roman"/>
          <w:sz w:val="19"/>
        </w:rPr>
        <w:t>Taksonomi merekonstruksi confusion matrix seed 13 secara tepat: TN=85.629, FP=5.630, FN=21.636, dan TP=55.140. Tabel 9 menampilkan kategori yang paling relevan bagi interpretasi operasional; laju FP memakai penyebut benign di dalam kategori dan laju FN memakai penyebut phishing di dalam kategori.</w:t>
      </w:r>
    </w:p>
    <w:p>
      <w:pPr>
        <w:keepNext/>
        <w:spacing w:after="60"/>
        <w:ind w:firstLine="0"/>
        <w:jc w:val="center"/>
      </w:pPr>
      <w:r>
        <w:rPr>
          <w:rFonts w:ascii="Times New Roman" w:hAnsi="Times New Roman" w:eastAsia="Times New Roman"/>
          <w:b/>
          <w:sz w:val="17"/>
        </w:rPr>
        <w:t>Tabel 9.</w:t>
      </w:r>
      <w:r>
        <w:rPr>
          <w:rFonts w:ascii="Times New Roman" w:hAnsi="Times New Roman" w:eastAsia="Times New Roman"/>
          <w:sz w:val="17"/>
        </w:rPr>
        <w:t xml:space="preserve"> Kategori galat terpilih pada prediksi temporal LightGBM seed 13.</w:t>
      </w:r>
    </w:p>
    <w:tbl>
      <w:tblPr>
        <w:tblStyle w:val="TableGrid"/>
        <w:tblW w:type="auto" w:w="0"/>
        <w:jc w:val="center"/>
        <w:tblLayout w:type="autofit"/>
        <w:tblLook w:firstColumn="1" w:firstRow="1" w:lastColumn="0" w:lastRow="0" w:noHBand="0" w:noVBand="1" w:val="04A0"/>
      </w:tblPr>
      <w:tblGrid>
        <w:gridCol w:w="1336"/>
        <w:gridCol w:w="1336"/>
        <w:gridCol w:w="1336"/>
        <w:gridCol w:w="1336"/>
        <w:gridCol w:w="1336"/>
        <w:gridCol w:w="1336"/>
        <w:gridCol w:w="1336"/>
      </w:tblGrid>
      <w:tr>
        <w:trPr>
          <w:cantSplit/>
          <w:tblHeader w:val="true"/>
        </w:trPr>
        <w:tc>
          <w:tcPr>
            <w:tcW w:type="dxa" w:w="1336"/>
            <w:vAlign w:val="center"/>
          </w:tcPr>
          <w:p>
            <w:pPr>
              <w:spacing w:after="0"/>
              <w:ind w:firstLine="0"/>
              <w:jc w:val="center"/>
            </w:pPr>
            <w:r>
              <w:rPr>
                <w:rFonts w:ascii="Times New Roman" w:hAnsi="Times New Roman" w:eastAsia="Times New Roman"/>
                <w:b/>
                <w:sz w:val="14"/>
              </w:rPr>
              <w:t>Kategori</w:t>
            </w:r>
          </w:p>
        </w:tc>
        <w:tc>
          <w:tcPr>
            <w:tcW w:type="dxa" w:w="1336"/>
            <w:vAlign w:val="center"/>
          </w:tcPr>
          <w:p>
            <w:pPr>
              <w:spacing w:after="0"/>
              <w:ind w:firstLine="0"/>
              <w:jc w:val="center"/>
            </w:pPr>
            <w:r>
              <w:rPr>
                <w:rFonts w:ascii="Times New Roman" w:hAnsi="Times New Roman" w:eastAsia="Times New Roman"/>
                <w:b/>
                <w:sz w:val="14"/>
              </w:rPr>
              <w:t>n</w:t>
            </w:r>
          </w:p>
        </w:tc>
        <w:tc>
          <w:tcPr>
            <w:tcW w:type="dxa" w:w="1336"/>
            <w:vAlign w:val="center"/>
          </w:tcPr>
          <w:p>
            <w:pPr>
              <w:spacing w:after="0"/>
              <w:ind w:firstLine="0"/>
              <w:jc w:val="center"/>
            </w:pPr>
            <w:r>
              <w:rPr>
                <w:rFonts w:ascii="Times New Roman" w:hAnsi="Times New Roman" w:eastAsia="Times New Roman"/>
                <w:b/>
                <w:sz w:val="14"/>
              </w:rPr>
              <w:t>Benign</w:t>
            </w:r>
          </w:p>
        </w:tc>
        <w:tc>
          <w:tcPr>
            <w:tcW w:type="dxa" w:w="1336"/>
            <w:vAlign w:val="center"/>
          </w:tcPr>
          <w:p>
            <w:pPr>
              <w:spacing w:after="0"/>
              <w:ind w:firstLine="0"/>
              <w:jc w:val="center"/>
            </w:pPr>
            <w:r>
              <w:rPr>
                <w:rFonts w:ascii="Times New Roman" w:hAnsi="Times New Roman" w:eastAsia="Times New Roman"/>
                <w:b/>
                <w:sz w:val="14"/>
              </w:rPr>
              <w:t>Phishing</w:t>
            </w:r>
          </w:p>
        </w:tc>
        <w:tc>
          <w:tcPr>
            <w:tcW w:type="dxa" w:w="1336"/>
            <w:vAlign w:val="center"/>
          </w:tcPr>
          <w:p>
            <w:pPr>
              <w:spacing w:after="0"/>
              <w:ind w:firstLine="0"/>
              <w:jc w:val="center"/>
            </w:pPr>
            <w:r>
              <w:rPr>
                <w:rFonts w:ascii="Times New Roman" w:hAnsi="Times New Roman" w:eastAsia="Times New Roman"/>
                <w:b/>
                <w:sz w:val="14"/>
              </w:rPr>
              <w:t>FP (laju)</w:t>
            </w:r>
          </w:p>
        </w:tc>
        <w:tc>
          <w:tcPr>
            <w:tcW w:type="dxa" w:w="1336"/>
            <w:vAlign w:val="center"/>
          </w:tcPr>
          <w:p>
            <w:pPr>
              <w:spacing w:after="0"/>
              <w:ind w:firstLine="0"/>
              <w:jc w:val="center"/>
            </w:pPr>
            <w:r>
              <w:rPr>
                <w:rFonts w:ascii="Times New Roman" w:hAnsi="Times New Roman" w:eastAsia="Times New Roman"/>
                <w:b/>
                <w:sz w:val="14"/>
              </w:rPr>
              <w:t>FN (laju)</w:t>
            </w:r>
          </w:p>
        </w:tc>
        <w:tc>
          <w:tcPr>
            <w:tcW w:type="dxa" w:w="1336"/>
            <w:vAlign w:val="center"/>
          </w:tcPr>
          <w:p>
            <w:pPr>
              <w:spacing w:after="0"/>
              <w:ind w:firstLine="0"/>
              <w:jc w:val="center"/>
            </w:pPr>
            <w:r>
              <w:rPr>
                <w:rFonts w:ascii="Times New Roman" w:hAnsi="Times New Roman" w:eastAsia="Times New Roman"/>
                <w:b/>
                <w:sz w:val="14"/>
              </w:rPr>
              <w:t>Batas pembacaan</w:t>
            </w:r>
          </w:p>
        </w:tc>
      </w:tr>
      <w:tr>
        <w:trPr>
          <w:cantSplit/>
        </w:trPr>
        <w:tc>
          <w:tcPr>
            <w:tcW w:type="dxa" w:w="1336"/>
            <w:vAlign w:val="center"/>
          </w:tcPr>
          <w:p>
            <w:pPr>
              <w:spacing w:after="0"/>
              <w:ind w:firstLine="0"/>
              <w:jc w:val="left"/>
            </w:pPr>
            <w:r>
              <w:rPr>
                <w:rFonts w:ascii="Times New Roman" w:hAnsi="Times New Roman" w:eastAsia="Times New Roman"/>
                <w:sz w:val="14"/>
              </w:rPr>
              <w:t>Host platform</w:t>
            </w:r>
          </w:p>
        </w:tc>
        <w:tc>
          <w:tcPr>
            <w:tcW w:type="dxa" w:w="1336"/>
            <w:vAlign w:val="center"/>
          </w:tcPr>
          <w:p>
            <w:pPr>
              <w:spacing w:after="0"/>
              <w:ind w:firstLine="0"/>
              <w:jc w:val="center"/>
            </w:pPr>
            <w:r>
              <w:rPr>
                <w:rFonts w:ascii="Times New Roman" w:hAnsi="Times New Roman" w:eastAsia="Times New Roman"/>
                <w:sz w:val="14"/>
              </w:rPr>
              <w:t>11.847</w:t>
            </w:r>
          </w:p>
        </w:tc>
        <w:tc>
          <w:tcPr>
            <w:tcW w:type="dxa" w:w="1336"/>
            <w:vAlign w:val="center"/>
          </w:tcPr>
          <w:p>
            <w:pPr>
              <w:spacing w:after="0"/>
              <w:ind w:firstLine="0"/>
              <w:jc w:val="center"/>
            </w:pPr>
            <w:r>
              <w:rPr>
                <w:rFonts w:ascii="Times New Roman" w:hAnsi="Times New Roman" w:eastAsia="Times New Roman"/>
                <w:sz w:val="14"/>
              </w:rPr>
              <w:t>114</w:t>
            </w:r>
          </w:p>
        </w:tc>
        <w:tc>
          <w:tcPr>
            <w:tcW w:type="dxa" w:w="1336"/>
            <w:vAlign w:val="center"/>
          </w:tcPr>
          <w:p>
            <w:pPr>
              <w:spacing w:after="0"/>
              <w:ind w:firstLine="0"/>
              <w:jc w:val="center"/>
            </w:pPr>
            <w:r>
              <w:rPr>
                <w:rFonts w:ascii="Times New Roman" w:hAnsi="Times New Roman" w:eastAsia="Times New Roman"/>
                <w:sz w:val="14"/>
              </w:rPr>
              <w:t>11.733</w:t>
            </w:r>
          </w:p>
        </w:tc>
        <w:tc>
          <w:tcPr>
            <w:tcW w:type="dxa" w:w="1336"/>
            <w:vAlign w:val="center"/>
          </w:tcPr>
          <w:p>
            <w:pPr>
              <w:spacing w:after="0"/>
              <w:ind w:firstLine="0"/>
              <w:jc w:val="center"/>
            </w:pPr>
            <w:r>
              <w:rPr>
                <w:rFonts w:ascii="Times New Roman" w:hAnsi="Times New Roman" w:eastAsia="Times New Roman"/>
                <w:sz w:val="14"/>
              </w:rPr>
              <w:t>45 (39,47%)</w:t>
            </w:r>
          </w:p>
        </w:tc>
        <w:tc>
          <w:tcPr>
            <w:tcW w:type="dxa" w:w="1336"/>
            <w:vAlign w:val="center"/>
          </w:tcPr>
          <w:p>
            <w:pPr>
              <w:spacing w:after="0"/>
              <w:ind w:firstLine="0"/>
              <w:jc w:val="center"/>
            </w:pPr>
            <w:r>
              <w:rPr>
                <w:rFonts w:ascii="Times New Roman" w:hAnsi="Times New Roman" w:eastAsia="Times New Roman"/>
                <w:sz w:val="14"/>
              </w:rPr>
              <w:t>8.035 (68,48%)</w:t>
            </w:r>
          </w:p>
        </w:tc>
        <w:tc>
          <w:tcPr>
            <w:tcW w:type="dxa" w:w="1336"/>
            <w:vAlign w:val="center"/>
          </w:tcPr>
          <w:p>
            <w:pPr>
              <w:spacing w:after="0"/>
              <w:ind w:firstLine="0"/>
              <w:jc w:val="center"/>
            </w:pPr>
            <w:r>
              <w:rPr>
                <w:rFonts w:ascii="Times New Roman" w:hAnsi="Times New Roman" w:eastAsia="Times New Roman"/>
                <w:sz w:val="14"/>
              </w:rPr>
              <w:t>37,1% dari seluruh FN dalam kohort yang diperiksa; kategori tumpang tindih; ketidakpastian klaster tidak terverifikasi</w:t>
            </w:r>
          </w:p>
        </w:tc>
      </w:tr>
      <w:tr>
        <w:trPr>
          <w:cantSplit/>
        </w:trPr>
        <w:tc>
          <w:tcPr>
            <w:tcW w:type="dxa" w:w="1336"/>
            <w:vAlign w:val="center"/>
          </w:tcPr>
          <w:p>
            <w:pPr>
              <w:spacing w:after="0"/>
              <w:ind w:firstLine="0"/>
              <w:jc w:val="left"/>
            </w:pPr>
            <w:r>
              <w:rPr>
                <w:rFonts w:ascii="Times New Roman" w:hAnsi="Times New Roman" w:eastAsia="Times New Roman"/>
                <w:sz w:val="14"/>
              </w:rPr>
              <w:t>Panjang URL ≤30</w:t>
            </w:r>
          </w:p>
        </w:tc>
        <w:tc>
          <w:tcPr>
            <w:tcW w:type="dxa" w:w="1336"/>
            <w:vAlign w:val="center"/>
          </w:tcPr>
          <w:p>
            <w:pPr>
              <w:spacing w:after="0"/>
              <w:ind w:firstLine="0"/>
              <w:jc w:val="center"/>
            </w:pPr>
            <w:r>
              <w:rPr>
                <w:rFonts w:ascii="Times New Roman" w:hAnsi="Times New Roman" w:eastAsia="Times New Roman"/>
                <w:sz w:val="14"/>
              </w:rPr>
              <w:t>25.828</w:t>
            </w:r>
          </w:p>
        </w:tc>
        <w:tc>
          <w:tcPr>
            <w:tcW w:type="dxa" w:w="1336"/>
            <w:vAlign w:val="center"/>
          </w:tcPr>
          <w:p>
            <w:pPr>
              <w:spacing w:after="0"/>
              <w:ind w:firstLine="0"/>
              <w:jc w:val="center"/>
            </w:pPr>
            <w:r>
              <w:rPr>
                <w:rFonts w:ascii="Times New Roman" w:hAnsi="Times New Roman" w:eastAsia="Times New Roman"/>
                <w:sz w:val="14"/>
              </w:rPr>
              <w:t>8.082</w:t>
            </w:r>
          </w:p>
        </w:tc>
        <w:tc>
          <w:tcPr>
            <w:tcW w:type="dxa" w:w="1336"/>
            <w:vAlign w:val="center"/>
          </w:tcPr>
          <w:p>
            <w:pPr>
              <w:spacing w:after="0"/>
              <w:ind w:firstLine="0"/>
              <w:jc w:val="center"/>
            </w:pPr>
            <w:r>
              <w:rPr>
                <w:rFonts w:ascii="Times New Roman" w:hAnsi="Times New Roman" w:eastAsia="Times New Roman"/>
                <w:sz w:val="14"/>
              </w:rPr>
              <w:t>17.746</w:t>
            </w:r>
          </w:p>
        </w:tc>
        <w:tc>
          <w:tcPr>
            <w:tcW w:type="dxa" w:w="1336"/>
            <w:vAlign w:val="center"/>
          </w:tcPr>
          <w:p>
            <w:pPr>
              <w:spacing w:after="0"/>
              <w:ind w:firstLine="0"/>
              <w:jc w:val="center"/>
            </w:pPr>
            <w:r>
              <w:rPr>
                <w:rFonts w:ascii="Times New Roman" w:hAnsi="Times New Roman" w:eastAsia="Times New Roman"/>
                <w:sz w:val="14"/>
              </w:rPr>
              <w:t>1.761 (21,79%)</w:t>
            </w:r>
          </w:p>
        </w:tc>
        <w:tc>
          <w:tcPr>
            <w:tcW w:type="dxa" w:w="1336"/>
            <w:vAlign w:val="center"/>
          </w:tcPr>
          <w:p>
            <w:pPr>
              <w:spacing w:after="0"/>
              <w:ind w:firstLine="0"/>
              <w:jc w:val="center"/>
            </w:pPr>
            <w:r>
              <w:rPr>
                <w:rFonts w:ascii="Times New Roman" w:hAnsi="Times New Roman" w:eastAsia="Times New Roman"/>
                <w:sz w:val="14"/>
              </w:rPr>
              <w:t>1.939 (10,93%)</w:t>
            </w:r>
          </w:p>
        </w:tc>
        <w:tc>
          <w:tcPr>
            <w:tcW w:type="dxa" w:w="1336"/>
            <w:vAlign w:val="center"/>
          </w:tcPr>
          <w:p>
            <w:pPr>
              <w:spacing w:after="0"/>
              <w:ind w:firstLine="0"/>
              <w:jc w:val="center"/>
            </w:pPr>
            <w:r>
              <w:rPr>
                <w:rFonts w:ascii="Times New Roman" w:hAnsi="Times New Roman" w:eastAsia="Times New Roman"/>
                <w:sz w:val="14"/>
              </w:rPr>
              <w:t>Campuran kelas dan domain berbeda</w:t>
            </w:r>
          </w:p>
        </w:tc>
      </w:tr>
      <w:tr>
        <w:trPr>
          <w:cantSplit/>
        </w:trPr>
        <w:tc>
          <w:tcPr>
            <w:tcW w:type="dxa" w:w="1336"/>
            <w:vAlign w:val="center"/>
          </w:tcPr>
          <w:p>
            <w:pPr>
              <w:spacing w:after="0"/>
              <w:ind w:firstLine="0"/>
              <w:jc w:val="left"/>
            </w:pPr>
            <w:r>
              <w:rPr>
                <w:rFonts w:ascii="Times New Roman" w:hAnsi="Times New Roman" w:eastAsia="Times New Roman"/>
                <w:sz w:val="14"/>
              </w:rPr>
              <w:t>Non-HTTPS</w:t>
            </w:r>
          </w:p>
        </w:tc>
        <w:tc>
          <w:tcPr>
            <w:tcW w:type="dxa" w:w="1336"/>
            <w:vAlign w:val="center"/>
          </w:tcPr>
          <w:p>
            <w:pPr>
              <w:spacing w:after="0"/>
              <w:ind w:firstLine="0"/>
              <w:jc w:val="center"/>
            </w:pPr>
            <w:r>
              <w:rPr>
                <w:rFonts w:ascii="Times New Roman" w:hAnsi="Times New Roman" w:eastAsia="Times New Roman"/>
                <w:sz w:val="14"/>
              </w:rPr>
              <w:t>13.570</w:t>
            </w:r>
          </w:p>
        </w:tc>
        <w:tc>
          <w:tcPr>
            <w:tcW w:type="dxa" w:w="1336"/>
            <w:vAlign w:val="center"/>
          </w:tcPr>
          <w:p>
            <w:pPr>
              <w:spacing w:after="0"/>
              <w:ind w:firstLine="0"/>
              <w:jc w:val="center"/>
            </w:pPr>
            <w:r>
              <w:rPr>
                <w:rFonts w:ascii="Times New Roman" w:hAnsi="Times New Roman" w:eastAsia="Times New Roman"/>
                <w:sz w:val="14"/>
              </w:rPr>
              <w:t>2.083</w:t>
            </w:r>
          </w:p>
        </w:tc>
        <w:tc>
          <w:tcPr>
            <w:tcW w:type="dxa" w:w="1336"/>
            <w:vAlign w:val="center"/>
          </w:tcPr>
          <w:p>
            <w:pPr>
              <w:spacing w:after="0"/>
              <w:ind w:firstLine="0"/>
              <w:jc w:val="center"/>
            </w:pPr>
            <w:r>
              <w:rPr>
                <w:rFonts w:ascii="Times New Roman" w:hAnsi="Times New Roman" w:eastAsia="Times New Roman"/>
                <w:sz w:val="14"/>
              </w:rPr>
              <w:t>11.487</w:t>
            </w:r>
          </w:p>
        </w:tc>
        <w:tc>
          <w:tcPr>
            <w:tcW w:type="dxa" w:w="1336"/>
            <w:vAlign w:val="center"/>
          </w:tcPr>
          <w:p>
            <w:pPr>
              <w:spacing w:after="0"/>
              <w:ind w:firstLine="0"/>
              <w:jc w:val="center"/>
            </w:pPr>
            <w:r>
              <w:rPr>
                <w:rFonts w:ascii="Times New Roman" w:hAnsi="Times New Roman" w:eastAsia="Times New Roman"/>
                <w:sz w:val="14"/>
              </w:rPr>
              <w:t>751 (36,05%)</w:t>
            </w:r>
          </w:p>
        </w:tc>
        <w:tc>
          <w:tcPr>
            <w:tcW w:type="dxa" w:w="1336"/>
            <w:vAlign w:val="center"/>
          </w:tcPr>
          <w:p>
            <w:pPr>
              <w:spacing w:after="0"/>
              <w:ind w:firstLine="0"/>
              <w:jc w:val="center"/>
            </w:pPr>
            <w:r>
              <w:rPr>
                <w:rFonts w:ascii="Times New Roman" w:hAnsi="Times New Roman" w:eastAsia="Times New Roman"/>
                <w:sz w:val="14"/>
              </w:rPr>
              <w:t>556 (4,84%)</w:t>
            </w:r>
          </w:p>
        </w:tc>
        <w:tc>
          <w:tcPr>
            <w:tcW w:type="dxa" w:w="1336"/>
            <w:vAlign w:val="center"/>
          </w:tcPr>
          <w:p>
            <w:pPr>
              <w:spacing w:after="0"/>
              <w:ind w:firstLine="0"/>
              <w:jc w:val="center"/>
            </w:pPr>
            <w:r>
              <w:rPr>
                <w:rFonts w:ascii="Times New Roman" w:hAnsi="Times New Roman" w:eastAsia="Times New Roman"/>
                <w:sz w:val="14"/>
              </w:rPr>
              <w:t>Skema berkorelasi dengan sumber URL</w:t>
            </w:r>
          </w:p>
        </w:tc>
      </w:tr>
      <w:tr>
        <w:trPr>
          <w:cantSplit/>
        </w:trPr>
        <w:tc>
          <w:tcPr>
            <w:tcW w:type="dxa" w:w="1336"/>
            <w:vAlign w:val="center"/>
          </w:tcPr>
          <w:p>
            <w:pPr>
              <w:spacing w:after="0"/>
              <w:ind w:firstLine="0"/>
              <w:jc w:val="left"/>
            </w:pPr>
            <w:r>
              <w:rPr>
                <w:rFonts w:ascii="Times New Roman" w:hAnsi="Times New Roman" w:eastAsia="Times New Roman"/>
                <w:sz w:val="14"/>
              </w:rPr>
              <w:t>Domain belum terlihat</w:t>
            </w:r>
          </w:p>
        </w:tc>
        <w:tc>
          <w:tcPr>
            <w:tcW w:type="dxa" w:w="1336"/>
            <w:vAlign w:val="center"/>
          </w:tcPr>
          <w:p>
            <w:pPr>
              <w:spacing w:after="0"/>
              <w:ind w:firstLine="0"/>
              <w:jc w:val="center"/>
            </w:pPr>
            <w:r>
              <w:rPr>
                <w:rFonts w:ascii="Times New Roman" w:hAnsi="Times New Roman" w:eastAsia="Times New Roman"/>
                <w:sz w:val="14"/>
              </w:rPr>
              <w:t>71.804</w:t>
            </w:r>
          </w:p>
        </w:tc>
        <w:tc>
          <w:tcPr>
            <w:tcW w:type="dxa" w:w="1336"/>
            <w:vAlign w:val="center"/>
          </w:tcPr>
          <w:p>
            <w:pPr>
              <w:spacing w:after="0"/>
              <w:ind w:firstLine="0"/>
              <w:jc w:val="center"/>
            </w:pPr>
            <w:r>
              <w:rPr>
                <w:rFonts w:ascii="Times New Roman" w:hAnsi="Times New Roman" w:eastAsia="Times New Roman"/>
                <w:sz w:val="14"/>
              </w:rPr>
              <w:t>28.896</w:t>
            </w:r>
          </w:p>
        </w:tc>
        <w:tc>
          <w:tcPr>
            <w:tcW w:type="dxa" w:w="1336"/>
            <w:vAlign w:val="center"/>
          </w:tcPr>
          <w:p>
            <w:pPr>
              <w:spacing w:after="0"/>
              <w:ind w:firstLine="0"/>
              <w:jc w:val="center"/>
            </w:pPr>
            <w:r>
              <w:rPr>
                <w:rFonts w:ascii="Times New Roman" w:hAnsi="Times New Roman" w:eastAsia="Times New Roman"/>
                <w:sz w:val="14"/>
              </w:rPr>
              <w:t>42.908</w:t>
            </w:r>
          </w:p>
        </w:tc>
        <w:tc>
          <w:tcPr>
            <w:tcW w:type="dxa" w:w="1336"/>
            <w:vAlign w:val="center"/>
          </w:tcPr>
          <w:p>
            <w:pPr>
              <w:spacing w:after="0"/>
              <w:ind w:firstLine="0"/>
              <w:jc w:val="center"/>
            </w:pPr>
            <w:r>
              <w:rPr>
                <w:rFonts w:ascii="Times New Roman" w:hAnsi="Times New Roman" w:eastAsia="Times New Roman"/>
                <w:sz w:val="14"/>
              </w:rPr>
              <w:t>2.592 (8,97%)</w:t>
            </w:r>
          </w:p>
        </w:tc>
        <w:tc>
          <w:tcPr>
            <w:tcW w:type="dxa" w:w="1336"/>
            <w:vAlign w:val="center"/>
          </w:tcPr>
          <w:p>
            <w:pPr>
              <w:spacing w:after="0"/>
              <w:ind w:firstLine="0"/>
              <w:jc w:val="center"/>
            </w:pPr>
            <w:r>
              <w:rPr>
                <w:rFonts w:ascii="Times New Roman" w:hAnsi="Times New Roman" w:eastAsia="Times New Roman"/>
                <w:sz w:val="14"/>
              </w:rPr>
              <w:t>9.555 (22,27%)</w:t>
            </w:r>
          </w:p>
        </w:tc>
        <w:tc>
          <w:tcPr>
            <w:tcW w:type="dxa" w:w="1336"/>
            <w:vAlign w:val="center"/>
          </w:tcPr>
          <w:p>
            <w:pPr>
              <w:spacing w:after="0"/>
              <w:ind w:firstLine="0"/>
              <w:jc w:val="center"/>
            </w:pPr>
            <w:r>
              <w:rPr>
                <w:rFonts w:ascii="Times New Roman" w:hAnsi="Times New Roman" w:eastAsia="Times New Roman"/>
                <w:sz w:val="14"/>
              </w:rPr>
              <w:t>Prevalensi berbeda dari domain terlihat</w:t>
            </w:r>
          </w:p>
        </w:tc>
      </w:tr>
      <w:tr>
        <w:trPr>
          <w:cantSplit/>
        </w:trPr>
        <w:tc>
          <w:tcPr>
            <w:tcW w:type="dxa" w:w="1336"/>
            <w:vAlign w:val="center"/>
          </w:tcPr>
          <w:p>
            <w:pPr>
              <w:spacing w:after="0"/>
              <w:ind w:firstLine="0"/>
              <w:jc w:val="left"/>
            </w:pPr>
            <w:r>
              <w:rPr>
                <w:rFonts w:ascii="Times New Roman" w:hAnsi="Times New Roman" w:eastAsia="Times New Roman"/>
                <w:sz w:val="14"/>
              </w:rPr>
              <w:t>Domain terlihat</w:t>
            </w:r>
          </w:p>
        </w:tc>
        <w:tc>
          <w:tcPr>
            <w:tcW w:type="dxa" w:w="1336"/>
            <w:vAlign w:val="center"/>
          </w:tcPr>
          <w:p>
            <w:pPr>
              <w:spacing w:after="0"/>
              <w:ind w:firstLine="0"/>
              <w:jc w:val="center"/>
            </w:pPr>
            <w:r>
              <w:rPr>
                <w:rFonts w:ascii="Times New Roman" w:hAnsi="Times New Roman" w:eastAsia="Times New Roman"/>
                <w:sz w:val="14"/>
              </w:rPr>
              <w:t>96.231</w:t>
            </w:r>
          </w:p>
        </w:tc>
        <w:tc>
          <w:tcPr>
            <w:tcW w:type="dxa" w:w="1336"/>
            <w:vAlign w:val="center"/>
          </w:tcPr>
          <w:p>
            <w:pPr>
              <w:spacing w:after="0"/>
              <w:ind w:firstLine="0"/>
              <w:jc w:val="center"/>
            </w:pPr>
            <w:r>
              <w:rPr>
                <w:rFonts w:ascii="Times New Roman" w:hAnsi="Times New Roman" w:eastAsia="Times New Roman"/>
                <w:sz w:val="14"/>
              </w:rPr>
              <w:t>62.363</w:t>
            </w:r>
          </w:p>
        </w:tc>
        <w:tc>
          <w:tcPr>
            <w:tcW w:type="dxa" w:w="1336"/>
            <w:vAlign w:val="center"/>
          </w:tcPr>
          <w:p>
            <w:pPr>
              <w:spacing w:after="0"/>
              <w:ind w:firstLine="0"/>
              <w:jc w:val="center"/>
            </w:pPr>
            <w:r>
              <w:rPr>
                <w:rFonts w:ascii="Times New Roman" w:hAnsi="Times New Roman" w:eastAsia="Times New Roman"/>
                <w:sz w:val="14"/>
              </w:rPr>
              <w:t>33.868</w:t>
            </w:r>
          </w:p>
        </w:tc>
        <w:tc>
          <w:tcPr>
            <w:tcW w:type="dxa" w:w="1336"/>
            <w:vAlign w:val="center"/>
          </w:tcPr>
          <w:p>
            <w:pPr>
              <w:spacing w:after="0"/>
              <w:ind w:firstLine="0"/>
              <w:jc w:val="center"/>
            </w:pPr>
            <w:r>
              <w:rPr>
                <w:rFonts w:ascii="Times New Roman" w:hAnsi="Times New Roman" w:eastAsia="Times New Roman"/>
                <w:sz w:val="14"/>
              </w:rPr>
              <w:t>3.038 (4,87%)</w:t>
            </w:r>
          </w:p>
        </w:tc>
        <w:tc>
          <w:tcPr>
            <w:tcW w:type="dxa" w:w="1336"/>
            <w:vAlign w:val="center"/>
          </w:tcPr>
          <w:p>
            <w:pPr>
              <w:spacing w:after="0"/>
              <w:ind w:firstLine="0"/>
              <w:jc w:val="center"/>
            </w:pPr>
            <w:r>
              <w:rPr>
                <w:rFonts w:ascii="Times New Roman" w:hAnsi="Times New Roman" w:eastAsia="Times New Roman"/>
                <w:sz w:val="14"/>
              </w:rPr>
              <w:t>12.081 (35,67%)</w:t>
            </w:r>
          </w:p>
        </w:tc>
        <w:tc>
          <w:tcPr>
            <w:tcW w:type="dxa" w:w="1336"/>
            <w:vAlign w:val="center"/>
          </w:tcPr>
          <w:p>
            <w:pPr>
              <w:spacing w:after="0"/>
              <w:ind w:firstLine="0"/>
              <w:jc w:val="center"/>
            </w:pPr>
            <w:r>
              <w:rPr>
                <w:rFonts w:ascii="Times New Roman" w:hAnsi="Times New Roman" w:eastAsia="Times New Roman"/>
                <w:sz w:val="14"/>
              </w:rPr>
              <w:t>Tidak mengisolasi memorisasi domain</w:t>
            </w:r>
          </w:p>
        </w:tc>
      </w:tr>
    </w:tbl>
    <w:p>
      <w:pPr>
        <w:spacing w:after="20"/>
        <w:ind w:firstLine="0"/>
      </w:pPr>
    </w:p>
    <w:p>
      <w:pPr>
        <w:spacing w:after="60"/>
        <w:ind w:firstLine="283"/>
        <w:jc w:val="both"/>
      </w:pPr>
      <w:r>
        <w:rPr>
          <w:rFonts w:ascii="Times New Roman" w:hAnsi="Times New Roman" w:eastAsia="Times New Roman"/>
          <w:sz w:val="19"/>
        </w:rPr>
        <w:t xml:space="preserve">Sebanyak 8.035 FN berada pada kategori host platform, terutama </w:t>
      </w:r>
      <w:r>
        <w:rPr>
          <w:rFonts w:ascii="Consolas" w:hAnsi="Consolas" w:eastAsia="Consolas"/>
          <w:sz w:val="18"/>
        </w:rPr>
        <w:t>pages.dev</w:t>
      </w:r>
      <w:r>
        <w:rPr>
          <w:rFonts w:ascii="Times New Roman" w:hAnsi="Times New Roman" w:eastAsia="Times New Roman"/>
          <w:sz w:val="19"/>
        </w:rPr>
        <w:t xml:space="preserve"> (7.341 FN); jumlah tersebut adalah 37,1% dari seluruh FN dalam kohort yang diperiksa. Kuantifikasi ketidakpastian antar-klaster domain untuk proporsi ini tidak memiliki komputasi yang dapat direproduksi dan tidak digunakan sebagai interval inferensial. URL dengan query juga menggambarkan risiko penyebut kecil: seluruh 52 URL benign berquery menjadi FP, sementara kategori tersebut mencakup 18.396 URL phishing dan hanya 13 FN. Karena itu, laju 100% pada subset benign berukuran 52 tidak boleh dijadikan aturan deteksi. Taksonomi ini mengidentifikasi lokasi galat deskriptif untuk hipotesis lanjutan, bukan bukti bahwa kategori menyebabkan galat.</w:t>
      </w:r>
    </w:p>
    <w:p>
      <w:pPr>
        <w:spacing w:after="60"/>
        <w:ind w:firstLine="283"/>
        <w:jc w:val="both"/>
      </w:pPr>
      <w:r>
        <w:rPr>
          <w:rFonts w:ascii="Times New Roman" w:hAnsi="Times New Roman" w:eastAsia="Times New Roman"/>
          <w:sz w:val="19"/>
        </w:rPr>
        <w:t xml:space="preserve">Tabel 10 merangkum angka deskriptif yang dibahas di luar tabel utama beserta artefak sumbernya, sehingga setiap angka yang dikutip di dalam teks dapat ditelusuri.</w:t>
      </w:r>
    </w:p>
    <w:p>
      <w:pPr>
        <w:keepNext/>
        <w:spacing w:after="60"/>
        <w:ind w:firstLine="0"/>
        <w:jc w:val="center"/>
      </w:pPr>
      <w:r>
        <w:rPr>
          <w:rFonts w:ascii="Times New Roman" w:hAnsi="Times New Roman" w:eastAsia="Times New Roman"/>
          <w:b/>
          <w:sz w:val="17"/>
        </w:rPr>
        <w:t xml:space="preserve">Tabel 10. Angka deskriptif yang dilaporkan di luar Tabel 3 sampai Tabel 9 beserta artefak sumbernya.</w:t>
      </w:r>
    </w:p>
    <w:tbl>
      <w:tblPr>
        <w:tblStyle w:val="TableGrid"/>
        <w:tblW w:type="auto" w:w="0"/>
        <w:tblLook w:firstColumn="1" w:firstRow="1" w:lastColumn="0" w:lastRow="0" w:noHBand="0" w:noVBand="1" w:val="04A0"/>
      </w:tblPr>
      <w:tblGrid>
        <w:gridCol w:w="3118"/>
        <w:gridCol w:w="3118"/>
        <w:gridCol w:w="3118"/>
      </w:tblGrid>
      <w:tr>
        <w:tc>
          <w:tcPr>
            <w:tcW w:type="dxa" w:w="3118"/>
          </w:tcPr>
          <w:p>
            <w:pPr>
              <w:jc w:val="center"/>
            </w:pPr>
            <w:r>
              <w:rPr>
                <w:rFonts w:ascii="Times New Roman" w:hAnsi="Times New Roman"/>
                <w:b/>
                <w:sz w:val="14"/>
              </w:rPr>
              <w:t>Angka</w:t>
            </w:r>
          </w:p>
        </w:tc>
        <w:tc>
          <w:tcPr>
            <w:tcW w:type="dxa" w:w="3118"/>
          </w:tcPr>
          <w:p>
            <w:pPr>
              <w:jc w:val="center"/>
            </w:pPr>
            <w:r>
              <w:rPr>
                <w:rFonts w:ascii="Times New Roman" w:hAnsi="Times New Roman"/>
                <w:b/>
                <w:sz w:val="14"/>
              </w:rPr>
              <w:t>Nilai</w:t>
            </w:r>
          </w:p>
        </w:tc>
        <w:tc>
          <w:tcPr>
            <w:tcW w:type="dxa" w:w="3118"/>
          </w:tcPr>
          <w:p>
            <w:pPr>
              <w:jc w:val="center"/>
            </w:pPr>
            <w:r>
              <w:rPr>
                <w:rFonts w:ascii="Times New Roman" w:hAnsi="Times New Roman"/>
                <w:b/>
                <w:sz w:val="14"/>
              </w:rPr>
              <w:t>Artefak sumber</w:t>
            </w:r>
          </w:p>
        </w:tc>
      </w:tr>
      <w:tr>
        <w:tc>
          <w:tcPr>
            <w:tcW w:type="dxa" w:w="3118"/>
          </w:tcPr>
          <w:p>
            <w:pPr>
              <w:jc w:val="left"/>
            </w:pPr>
            <w:r>
              <w:rPr>
                <w:rFonts w:ascii="Times New Roman" w:hAnsi="Times New Roman"/>
                <w:sz w:val="14"/>
              </w:rPr>
              <w:t>Selisih F1 acak terhadap site-disjoint, minimum (A0/XGBoost)</w:t>
            </w:r>
          </w:p>
        </w:tc>
        <w:tc>
          <w:tcPr>
            <w:tcW w:type="dxa" w:w="3118"/>
          </w:tcPr>
          <w:p>
            <w:pPr>
              <w:jc w:val="left"/>
            </w:pPr>
            <w:r>
              <w:rPr>
                <w:rFonts w:ascii="Times New Roman" w:hAnsi="Times New Roman"/>
                <w:sz w:val="14"/>
              </w:rPr>
              <w:t>0,000162</w:t>
            </w:r>
          </w:p>
        </w:tc>
        <w:tc>
          <w:tcPr>
            <w:tcW w:type="dxa" w:w="3118"/>
          </w:tcPr>
          <w:p>
            <w:pPr>
              <w:jc w:val="left"/>
            </w:pPr>
            <w:r>
              <w:rPr>
                <w:rFonts w:ascii="Times New Roman" w:hAnsi="Times New Roman"/>
                <w:sz w:val="14"/>
              </w:rPr>
              <w:t>summary.csv (eksperimen 5): 0,999855755 − 0,999693299</w:t>
            </w:r>
          </w:p>
        </w:tc>
      </w:tr>
      <w:tr>
        <w:tc>
          <w:tcPr>
            <w:tcW w:type="dxa" w:w="3118"/>
          </w:tcPr>
          <w:p>
            <w:pPr>
              <w:jc w:val="left"/>
            </w:pPr>
            <w:r>
              <w:rPr>
                <w:rFonts w:ascii="Times New Roman" w:hAnsi="Times New Roman"/>
                <w:sz w:val="14"/>
              </w:rPr>
              <w:t>Selisih F1 acak terhadap site-disjoint, maksimum (A2/LightGBM)</w:t>
            </w:r>
          </w:p>
        </w:tc>
        <w:tc>
          <w:tcPr>
            <w:tcW w:type="dxa" w:w="3118"/>
          </w:tcPr>
          <w:p>
            <w:pPr>
              <w:jc w:val="left"/>
            </w:pPr>
            <w:r>
              <w:rPr>
                <w:rFonts w:ascii="Times New Roman" w:hAnsi="Times New Roman"/>
                <w:sz w:val="14"/>
              </w:rPr>
              <w:t>0,001178</w:t>
            </w:r>
          </w:p>
        </w:tc>
        <w:tc>
          <w:tcPr>
            <w:tcW w:type="dxa" w:w="3118"/>
          </w:tcPr>
          <w:p>
            <w:pPr>
              <w:jc w:val="left"/>
            </w:pPr>
            <w:r>
              <w:rPr>
                <w:rFonts w:ascii="Times New Roman" w:hAnsi="Times New Roman"/>
                <w:sz w:val="14"/>
              </w:rPr>
              <w:t>summary.csv (eksperimen 5): 0,996364752 − 0,995186381</w:t>
            </w:r>
          </w:p>
        </w:tc>
      </w:tr>
      <w:tr>
        <w:tc>
          <w:tcPr>
            <w:tcW w:type="dxa" w:w="3118"/>
          </w:tcPr>
          <w:p>
            <w:pPr>
              <w:jc w:val="left"/>
            </w:pPr>
            <w:r>
              <w:rPr>
                <w:rFonts w:ascii="Times New Roman" w:hAnsi="Times New Roman"/>
                <w:sz w:val="14"/>
              </w:rPr>
              <w:t>Kesalahan A0→A1 LightGBM, rerata 5 seed pada 44.213,6 baris uji</w:t>
            </w:r>
          </w:p>
        </w:tc>
        <w:tc>
          <w:tcPr>
            <w:tcW w:type="dxa" w:w="3118"/>
          </w:tcPr>
          <w:p>
            <w:pPr>
              <w:jc w:val="left"/>
            </w:pPr>
            <w:r>
              <w:rPr>
                <w:rFonts w:ascii="Times New Roman" w:hAnsi="Times New Roman"/>
                <w:sz w:val="14"/>
              </w:rPr>
              <w:t>12,8 → 32,2</w:t>
            </w:r>
          </w:p>
        </w:tc>
        <w:tc>
          <w:tcPr>
            <w:tcW w:type="dxa" w:w="3118"/>
          </w:tcPr>
          <w:p>
            <w:pPr>
              <w:jc w:val="left"/>
            </w:pPr>
            <w:r>
              <w:rPr>
                <w:rFonts w:ascii="Times New Roman" w:hAnsi="Times New Roman"/>
                <w:sz w:val="14"/>
              </w:rPr>
              <w:t>metrics_all.csv (Eksperimen 5)</w:t>
            </w:r>
          </w:p>
        </w:tc>
      </w:tr>
      <w:tr>
        <w:tc>
          <w:tcPr>
            <w:tcW w:type="dxa" w:w="3118"/>
          </w:tcPr>
          <w:p>
            <w:pPr>
              <w:jc w:val="left"/>
            </w:pPr>
            <w:r>
              <w:rPr>
                <w:rFonts w:ascii="Times New Roman" w:hAnsi="Times New Roman"/>
                <w:sz w:val="14"/>
              </w:rPr>
              <w:t>Kesalahan A0→A1 XGBoost, rerata 5 seed pada 44.213,6 baris uji</w:t>
            </w:r>
          </w:p>
        </w:tc>
        <w:tc>
          <w:tcPr>
            <w:tcW w:type="dxa" w:w="3118"/>
          </w:tcPr>
          <w:p>
            <w:pPr>
              <w:jc w:val="left"/>
            </w:pPr>
            <w:r>
              <w:rPr>
                <w:rFonts w:ascii="Times New Roman" w:hAnsi="Times New Roman"/>
                <w:sz w:val="14"/>
              </w:rPr>
              <w:t>10,4 → 39,0</w:t>
            </w:r>
          </w:p>
        </w:tc>
        <w:tc>
          <w:tcPr>
            <w:tcW w:type="dxa" w:w="3118"/>
          </w:tcPr>
          <w:p>
            <w:pPr>
              <w:jc w:val="left"/>
            </w:pPr>
            <w:r>
              <w:rPr>
                <w:rFonts w:ascii="Times New Roman" w:hAnsi="Times New Roman"/>
                <w:sz w:val="14"/>
              </w:rPr>
              <w:t>metrics_all.csv (Eksperimen 5)</w:t>
            </w:r>
          </w:p>
        </w:tc>
      </w:tr>
      <w:tr>
        <w:tc>
          <w:tcPr>
            <w:tcW w:type="dxa" w:w="3118"/>
          </w:tcPr>
          <w:p>
            <w:pPr>
              <w:jc w:val="left"/>
            </w:pPr>
            <w:r>
              <w:rPr>
                <w:rFonts w:ascii="Times New Roman" w:hAnsi="Times New Roman"/>
                <w:sz w:val="14"/>
              </w:rPr>
              <w:t>IK 95 % F1 transfer LightGBM</w:t>
            </w:r>
          </w:p>
        </w:tc>
        <w:tc>
          <w:tcPr>
            <w:tcW w:type="dxa" w:w="3118"/>
          </w:tcPr>
          <w:p>
            <w:pPr>
              <w:jc w:val="left"/>
            </w:pPr>
            <w:r>
              <w:rPr>
                <w:rFonts w:ascii="Times New Roman" w:hAnsi="Times New Roman"/>
                <w:sz w:val="14"/>
              </w:rPr>
              <w:t>[0,538701; 0,669829]</w:t>
            </w:r>
          </w:p>
        </w:tc>
        <w:tc>
          <w:tcPr>
            <w:tcW w:type="dxa" w:w="3118"/>
          </w:tcPr>
          <w:p>
            <w:pPr>
              <w:jc w:val="left"/>
            </w:pPr>
            <w:r>
              <w:rPr>
                <w:rFonts w:ascii="Times New Roman" w:hAnsi="Times New Roman"/>
                <w:sz w:val="14"/>
              </w:rPr>
              <w:t>primary_seed_domain_bootstrap.csv</w:t>
            </w:r>
          </w:p>
        </w:tc>
      </w:tr>
      <w:tr>
        <w:tc>
          <w:tcPr>
            <w:tcW w:type="dxa" w:w="3118"/>
          </w:tcPr>
          <w:p>
            <w:pPr>
              <w:jc w:val="left"/>
            </w:pPr>
            <w:r>
              <w:rPr>
                <w:rFonts w:ascii="Times New Roman" w:hAnsi="Times New Roman"/>
                <w:sz w:val="14"/>
              </w:rPr>
              <w:t>IK 95 % FPR benign transfer LightGBM</w:t>
            </w:r>
          </w:p>
        </w:tc>
        <w:tc>
          <w:tcPr>
            <w:tcW w:type="dxa" w:w="3118"/>
          </w:tcPr>
          <w:p>
            <w:pPr>
              <w:jc w:val="left"/>
            </w:pPr>
            <w:r>
              <w:rPr>
                <w:rFonts w:ascii="Times New Roman" w:hAnsi="Times New Roman"/>
                <w:sz w:val="14"/>
              </w:rPr>
              <w:t>[0,984874; 0,988138]</w:t>
            </w:r>
          </w:p>
        </w:tc>
        <w:tc>
          <w:tcPr>
            <w:tcW w:type="dxa" w:w="3118"/>
          </w:tcPr>
          <w:p>
            <w:pPr>
              <w:jc w:val="left"/>
            </w:pPr>
            <w:r>
              <w:rPr>
                <w:rFonts w:ascii="Times New Roman" w:hAnsi="Times New Roman"/>
                <w:sz w:val="14"/>
              </w:rPr>
              <w:t>primary_seed_domain_bootstrap.csv</w:t>
            </w:r>
          </w:p>
        </w:tc>
      </w:tr>
      <w:tr>
        <w:tc>
          <w:tcPr>
            <w:tcW w:type="dxa" w:w="3118"/>
          </w:tcPr>
          <w:p>
            <w:pPr>
              <w:jc w:val="left"/>
            </w:pPr>
            <w:r>
              <w:rPr>
                <w:rFonts w:ascii="Times New Roman" w:hAnsi="Times New Roman"/>
                <w:sz w:val="14"/>
              </w:rPr>
              <w:t>IK 95 % ROC-AUC transfer LightGBM</w:t>
            </w:r>
          </w:p>
        </w:tc>
        <w:tc>
          <w:tcPr>
            <w:tcW w:type="dxa" w:w="3118"/>
          </w:tcPr>
          <w:p>
            <w:pPr>
              <w:jc w:val="left"/>
            </w:pPr>
            <w:r>
              <w:rPr>
                <w:rFonts w:ascii="Times New Roman" w:hAnsi="Times New Roman"/>
                <w:sz w:val="14"/>
              </w:rPr>
              <w:t>[0,353178; 0,413481]</w:t>
            </w:r>
          </w:p>
        </w:tc>
        <w:tc>
          <w:tcPr>
            <w:tcW w:type="dxa" w:w="3118"/>
          </w:tcPr>
          <w:p>
            <w:pPr>
              <w:jc w:val="left"/>
            </w:pPr>
            <w:r>
              <w:rPr>
                <w:rFonts w:ascii="Times New Roman" w:hAnsi="Times New Roman"/>
                <w:sz w:val="14"/>
              </w:rPr>
              <w:t>primary_seed_domain_bootstrap.csv</w:t>
            </w:r>
          </w:p>
        </w:tc>
      </w:tr>
      <w:tr>
        <w:tc>
          <w:tcPr>
            <w:tcW w:type="dxa" w:w="3118"/>
          </w:tcPr>
          <w:p>
            <w:pPr>
              <w:jc w:val="left"/>
            </w:pPr>
            <w:r>
              <w:rPr>
                <w:rFonts w:ascii="Times New Roman" w:hAnsi="Times New Roman"/>
                <w:sz w:val="14"/>
              </w:rPr>
              <w:t>IK 95 % MCC transfer LightGBM</w:t>
            </w:r>
          </w:p>
        </w:tc>
        <w:tc>
          <w:tcPr>
            <w:tcW w:type="dxa" w:w="3118"/>
          </w:tcPr>
          <w:p>
            <w:pPr>
              <w:jc w:val="left"/>
            </w:pPr>
            <w:r>
              <w:rPr>
                <w:rFonts w:ascii="Times New Roman" w:hAnsi="Times New Roman"/>
                <w:sz w:val="14"/>
              </w:rPr>
              <w:t>[−0,175573; −0,111340]</w:t>
            </w:r>
          </w:p>
        </w:tc>
        <w:tc>
          <w:tcPr>
            <w:tcW w:type="dxa" w:w="3118"/>
          </w:tcPr>
          <w:p>
            <w:pPr>
              <w:jc w:val="left"/>
            </w:pPr>
            <w:r>
              <w:rPr>
                <w:rFonts w:ascii="Times New Roman" w:hAnsi="Times New Roman"/>
                <w:sz w:val="14"/>
              </w:rPr>
              <w:t>primary_seed_domain_bootstrap.csv</w:t>
            </w:r>
          </w:p>
        </w:tc>
      </w:tr>
      <w:tr>
        <w:tc>
          <w:tcPr>
            <w:tcW w:type="dxa" w:w="3118"/>
          </w:tcPr>
          <w:p>
            <w:pPr>
              <w:jc w:val="left"/>
            </w:pPr>
            <w:r>
              <w:rPr>
                <w:rFonts w:ascii="Times New Roman" w:hAnsi="Times New Roman"/>
                <w:sz w:val="14"/>
              </w:rPr>
              <w:t>Waktu latih LightGBM temporal (5 seed)</w:t>
            </w:r>
          </w:p>
        </w:tc>
        <w:tc>
          <w:tcPr>
            <w:tcW w:type="dxa" w:w="3118"/>
          </w:tcPr>
          <w:p>
            <w:pPr>
              <w:jc w:val="left"/>
            </w:pPr>
            <w:r>
              <w:rPr>
                <w:rFonts w:ascii="Times New Roman" w:hAnsi="Times New Roman"/>
                <w:sz w:val="14"/>
              </w:rPr>
              <w:t>6,06–7,21 detik</w:t>
            </w:r>
          </w:p>
        </w:tc>
        <w:tc>
          <w:tcPr>
            <w:tcW w:type="dxa" w:w="3118"/>
          </w:tcPr>
          <w:p>
            <w:pPr>
              <w:jc w:val="left"/>
            </w:pPr>
            <w:r>
              <w:rPr>
                <w:rFonts w:ascii="Times New Roman" w:hAnsi="Times New Roman"/>
                <w:sz w:val="14"/>
              </w:rPr>
              <w:t>results_per_seed.csv (run 20261022T170935017991Z, run kanonik)</w:t>
            </w:r>
          </w:p>
        </w:tc>
      </w:tr>
      <w:tr>
        <w:tc>
          <w:tcPr>
            <w:tcW w:type="dxa" w:w="3118"/>
          </w:tcPr>
          <w:p>
            <w:pPr>
              <w:jc w:val="left"/>
            </w:pPr>
            <w:r>
              <w:rPr>
                <w:rFonts w:ascii="Times New Roman" w:hAnsi="Times New Roman"/>
                <w:sz w:val="14"/>
              </w:rPr>
              <w:t>Waktu prediksi batch 168.035 baris</w:t>
            </w:r>
          </w:p>
        </w:tc>
        <w:tc>
          <w:tcPr>
            <w:tcW w:type="dxa" w:w="3118"/>
          </w:tcPr>
          <w:p>
            <w:pPr>
              <w:jc w:val="left"/>
            </w:pPr>
            <w:r>
              <w:rPr>
                <w:rFonts w:ascii="Times New Roman" w:hAnsi="Times New Roman"/>
                <w:sz w:val="14"/>
              </w:rPr>
              <w:t>0,79–0,84 detik</w:t>
            </w:r>
          </w:p>
        </w:tc>
        <w:tc>
          <w:tcPr>
            <w:tcW w:type="dxa" w:w="3118"/>
          </w:tcPr>
          <w:p>
            <w:pPr>
              <w:jc w:val="left"/>
            </w:pPr>
            <w:r>
              <w:rPr>
                <w:rFonts w:ascii="Times New Roman" w:hAnsi="Times New Roman"/>
                <w:sz w:val="14"/>
              </w:rPr>
              <w:t>results_per_seed.csv (run 20261022T170935017991Z, run kanonik)</w:t>
            </w:r>
          </w:p>
        </w:tc>
      </w:tr>
      <w:tr>
        <w:tc>
          <w:tcPr>
            <w:tcW w:type="dxa" w:w="3118"/>
          </w:tcPr>
          <w:p>
            <w:pPr>
              <w:jc w:val="left"/>
            </w:pPr>
            <w:r>
              <w:rPr>
                <w:rFonts w:ascii="Times New Roman" w:hAnsi="Times New Roman"/>
                <w:sz w:val="14"/>
              </w:rPr>
              <w:t>Rerata lima seed, aturan FPR validasi &lt;= 1 % (F1; recall; FPR)</w:t>
            </w:r>
          </w:p>
        </w:tc>
        <w:tc>
          <w:tcPr>
            <w:tcW w:type="dxa" w:w="3118"/>
          </w:tcPr>
          <w:p>
            <w:pPr>
              <w:jc w:val="left"/>
            </w:pPr>
            <w:r>
              <w:rPr>
                <w:rFonts w:ascii="Times New Roman" w:hAnsi="Times New Roman"/>
                <w:sz w:val="14"/>
              </w:rPr>
              <w:t>0,700739; 0,546658; 0,011365</w:t>
            </w:r>
          </w:p>
        </w:tc>
        <w:tc>
          <w:tcPr>
            <w:tcW w:type="dxa" w:w="3118"/>
          </w:tcPr>
          <w:p>
            <w:pPr>
              <w:jc w:val="left"/>
            </w:pPr>
            <w:r>
              <w:rPr>
                <w:rFonts w:ascii="Times New Roman" w:hAnsi="Times New Roman"/>
                <w:sz w:val="14"/>
              </w:rPr>
              <w:t>test_metrics_across_seeds.csv</w:t>
            </w:r>
          </w:p>
        </w:tc>
      </w:tr>
      <w:tr>
        <w:tc>
          <w:tcPr>
            <w:tcW w:type="dxa" w:w="3118"/>
          </w:tcPr>
          <w:p>
            <w:pPr>
              <w:jc w:val="left"/>
            </w:pPr>
            <w:r>
              <w:rPr>
                <w:rFonts w:ascii="Times New Roman" w:hAnsi="Times New Roman"/>
                <w:sz w:val="14"/>
              </w:rPr>
              <w:t>Rerata lima seed, aturan FPR validasi &lt;= 0,5 % (F1; recall; FPR)</w:t>
            </w:r>
          </w:p>
        </w:tc>
        <w:tc>
          <w:tcPr>
            <w:tcW w:type="dxa" w:w="3118"/>
          </w:tcPr>
          <w:p>
            <w:pPr>
              <w:jc w:val="left"/>
            </w:pPr>
            <w:r>
              <w:rPr>
                <w:rFonts w:ascii="Times New Roman" w:hAnsi="Times New Roman"/>
                <w:sz w:val="14"/>
              </w:rPr>
              <w:t>0,646167; 0,480645; 0,005843</w:t>
            </w:r>
          </w:p>
        </w:tc>
        <w:tc>
          <w:tcPr>
            <w:tcW w:type="dxa" w:w="3118"/>
          </w:tcPr>
          <w:p>
            <w:pPr>
              <w:jc w:val="left"/>
            </w:pPr>
            <w:r>
              <w:rPr>
                <w:rFonts w:ascii="Times New Roman" w:hAnsi="Times New Roman"/>
                <w:sz w:val="14"/>
              </w:rPr>
              <w:t>test_metrics_across_seeds.csv</w:t>
            </w:r>
          </w:p>
        </w:tc>
      </w:tr>
      <w:tr>
        <w:tc>
          <w:tcPr>
            <w:tcW w:type="dxa" w:w="3118"/>
          </w:tcPr>
          <w:p>
            <w:pPr>
              <w:jc w:val="left"/>
            </w:pPr>
            <w:r>
              <w:rPr>
                <w:rFonts w:ascii="Times New Roman" w:hAnsi="Times New Roman"/>
                <w:sz w:val="14"/>
              </w:rPr>
              <w:t>FN kategori host platform, termasuk pages.dev</w:t>
            </w:r>
          </w:p>
        </w:tc>
        <w:tc>
          <w:tcPr>
            <w:tcW w:type="dxa" w:w="3118"/>
          </w:tcPr>
          <w:p>
            <w:pPr>
              <w:jc w:val="left"/>
            </w:pPr>
            <w:r>
              <w:rPr>
                <w:rFonts w:ascii="Times New Roman" w:hAnsi="Times New Roman"/>
                <w:sz w:val="14"/>
              </w:rPr>
              <w:t>8.035 (pages.dev 7.341)</w:t>
            </w:r>
          </w:p>
        </w:tc>
        <w:tc>
          <w:tcPr>
            <w:tcW w:type="dxa" w:w="3118"/>
          </w:tcPr>
          <w:p>
            <w:pPr>
              <w:jc w:val="left"/>
            </w:pPr>
            <w:r>
              <w:rPr>
                <w:rFonts w:ascii="Times New Roman" w:hAnsi="Times New Roman"/>
                <w:sz w:val="14"/>
              </w:rPr>
              <w:t>category_error_table.csv (8.035); platform_fn_breakdown.csv dan README.md eksperimen 8 (rincian pages.dev 7.341, dilaporkan sebagai angka prosa)</w:t>
            </w:r>
          </w:p>
        </w:tc>
      </w:tr>
      <w:tr>
        <w:tc>
          <w:tcPr>
            <w:tcW w:type="dxa" w:w="3118"/>
          </w:tcPr>
          <w:p>
            <w:pPr>
              <w:jc w:val="left"/>
            </w:pPr>
            <w:r>
              <w:rPr>
                <w:rFonts w:ascii="Times New Roman" w:hAnsi="Times New Roman"/>
                <w:sz w:val="14"/>
              </w:rPr>
              <w:t>FP dan FN kategori query_present</w:t>
            </w:r>
          </w:p>
        </w:tc>
        <w:tc>
          <w:tcPr>
            <w:tcW w:type="dxa" w:w="3118"/>
          </w:tcPr>
          <w:p>
            <w:pPr>
              <w:jc w:val="left"/>
            </w:pPr>
            <w:r>
              <w:rPr>
                <w:rFonts w:ascii="Times New Roman" w:hAnsi="Times New Roman"/>
                <w:sz w:val="14"/>
              </w:rPr>
              <w:t>52 FP; 13 FN</w:t>
            </w:r>
          </w:p>
        </w:tc>
        <w:tc>
          <w:tcPr>
            <w:tcW w:type="dxa" w:w="3118"/>
          </w:tcPr>
          <w:p>
            <w:pPr>
              <w:jc w:val="left"/>
            </w:pPr>
            <w:r>
              <w:rPr>
                <w:rFonts w:ascii="Times New Roman" w:hAnsi="Times New Roman"/>
                <w:sz w:val="14"/>
              </w:rPr>
              <w:t>category_error_table.csv</w:t>
            </w:r>
          </w:p>
        </w:tc>
      </w:tr>
      <w:tr>
        <w:tc>
          <w:tcPr>
            <w:tcW w:type="dxa" w:w="3118"/>
          </w:tcPr>
          <w:p>
            <w:pPr>
              <w:jc w:val="left"/>
            </w:pPr>
            <w:r>
              <w:rPr>
                <w:rFonts w:ascii="Times New Roman" w:hAnsi="Times New Roman"/>
                <w:sz w:val="14"/>
              </w:rPr>
              <w:t>AUC tunggal tiga kolom sumber: URLSimilarityIndex (dibuang); LineOfCode dan NoOfExternalRef (dipertahankan dalam A0)</w:t>
            </w:r>
          </w:p>
        </w:tc>
        <w:tc>
          <w:tcPr>
            <w:tcW w:type="dxa" w:w="3118"/>
          </w:tcPr>
          <w:p>
            <w:pPr>
              <w:jc w:val="left"/>
            </w:pPr>
            <w:r>
              <w:rPr>
                <w:rFonts w:ascii="Times New Roman" w:hAnsi="Times New Roman"/>
                <w:sz w:val="14"/>
              </w:rPr>
              <w:t>0,9961; 0,9903; 0,9880</w:t>
            </w:r>
          </w:p>
        </w:tc>
        <w:tc>
          <w:tcPr>
            <w:tcW w:type="dxa" w:w="3118"/>
          </w:tcPr>
          <w:p>
            <w:pPr>
              <w:jc w:val="left"/>
            </w:pPr>
            <w:r>
              <w:rPr>
                <w:rFonts w:ascii="Times New Roman" w:hAnsi="Times New Roman"/>
                <w:sz w:val="14"/>
              </w:rPr>
              <w:t>phiusiil_leakage_audit.md</w:t>
            </w:r>
          </w:p>
        </w:tc>
      </w:tr>
      <w:tr>
        <w:tc>
          <w:tcPr>
            <w:tcW w:type="dxa" w:w="3118"/>
          </w:tcPr>
          <w:p>
            <w:pPr>
              <w:jc w:val="left"/>
            </w:pPr>
            <w:r>
              <w:rPr>
                <w:rFonts w:ascii="Times New Roman" w:hAnsi="Times New Roman"/>
                <w:sz w:val="14"/>
              </w:rPr>
              <w:t>Rerata lima seed F1 temporal A2/LightGBM (seluruh 168.035 baris uji)</w:t>
            </w:r>
          </w:p>
        </w:tc>
        <w:tc>
          <w:tcPr>
            <w:tcW w:type="dxa" w:w="3118"/>
          </w:tcPr>
          <w:p>
            <w:pPr>
              <w:jc w:val="left"/>
            </w:pPr>
            <w:r>
              <w:rPr>
                <w:rFonts w:ascii="Times New Roman" w:hAnsi="Times New Roman"/>
                <w:sz w:val="14"/>
              </w:rPr>
              <w:t>0,800461</w:t>
            </w:r>
          </w:p>
        </w:tc>
        <w:tc>
          <w:tcPr>
            <w:tcW w:type="dxa" w:w="3118"/>
          </w:tcPr>
          <w:p>
            <w:pPr>
              <w:jc w:val="left"/>
            </w:pPr>
            <w:r>
              <w:rPr>
                <w:rFonts w:ascii="Times New Roman" w:hAnsi="Times New Roman"/>
                <w:sz w:val="14"/>
              </w:rPr>
              <w:t>summary.csv (eksperimen 5), protokol temporal; simpangan baku 0,001184</w:t>
            </w:r>
          </w:p>
        </w:tc>
      </w:tr>
      <w:tr>
        <w:tc>
          <w:tcPr>
            <w:tcW w:type="dxa" w:w="3118"/>
          </w:tcPr>
          <w:p>
            <w:pPr>
              <w:jc w:val="left"/>
            </w:pPr>
            <w:r>
              <w:rPr>
                <w:rFonts w:ascii="Times New Roman" w:hAnsi="Times New Roman"/>
                <w:sz w:val="14"/>
              </w:rPr>
              <w:t>Rerata lima seed F1 temporal A2/XGBoost (seluruh 168.035 baris uji)</w:t>
            </w:r>
          </w:p>
        </w:tc>
        <w:tc>
          <w:tcPr>
            <w:tcW w:type="dxa" w:w="3118"/>
          </w:tcPr>
          <w:p>
            <w:pPr>
              <w:jc w:val="left"/>
            </w:pPr>
            <w:r>
              <w:rPr>
                <w:rFonts w:ascii="Times New Roman" w:hAnsi="Times New Roman"/>
                <w:sz w:val="14"/>
              </w:rPr>
              <w:t>0,799629</w:t>
            </w:r>
          </w:p>
        </w:tc>
        <w:tc>
          <w:tcPr>
            <w:tcW w:type="dxa" w:w="3118"/>
          </w:tcPr>
          <w:p>
            <w:pPr>
              <w:jc w:val="left"/>
            </w:pPr>
            <w:r>
              <w:rPr>
                <w:rFonts w:ascii="Times New Roman" w:hAnsi="Times New Roman"/>
                <w:sz w:val="14"/>
              </w:rPr>
              <w:t>summary.csv (eksperimen 5), protokol temporal; simpangan baku 0 (prosedur histogram deterministik)</w:t>
            </w:r>
          </w:p>
        </w:tc>
      </w:tr>
      <w:tr>
        <w:tc>
          <w:tcPr>
            <w:tcW w:type="dxa" w:w="3118"/>
          </w:tcPr>
          <w:p>
            <w:pPr>
              <w:jc w:val="left"/>
            </w:pPr>
            <w:r>
              <w:rPr>
                <w:rFonts w:ascii="Times New Roman" w:hAnsi="Times New Roman"/>
                <w:sz w:val="14"/>
              </w:rPr>
              <w:t>Aturan FPR validasi &lt;= 1 %: FPR uji, recall uji, ambang terpilih</w:t>
            </w:r>
          </w:p>
        </w:tc>
        <w:tc>
          <w:tcPr>
            <w:tcW w:type="dxa" w:w="3118"/>
          </w:tcPr>
          <w:p>
            <w:pPr>
              <w:jc w:val="left"/>
            </w:pPr>
            <w:r>
              <w:rPr>
                <w:rFonts w:ascii="Times New Roman" w:hAnsi="Times New Roman"/>
                <w:sz w:val="14"/>
              </w:rPr>
              <w:t>1,1352 %; 0,5440; 0,884705</w:t>
            </w:r>
          </w:p>
        </w:tc>
        <w:tc>
          <w:tcPr>
            <w:tcW w:type="dxa" w:w="3118"/>
          </w:tcPr>
          <w:p>
            <w:pPr>
              <w:jc w:val="left"/>
            </w:pPr>
            <w:r>
              <w:rPr>
                <w:rFonts w:ascii="Times New Roman" w:hAnsi="Times New Roman"/>
                <w:sz w:val="14"/>
              </w:rPr>
              <w:t>test_metrics_primary_seed.csv (eksperimen 7, seed 13)</w:t>
            </w:r>
          </w:p>
        </w:tc>
      </w:tr>
      <w:tr>
        <w:tc>
          <w:tcPr>
            <w:tcW w:type="dxa" w:w="3118"/>
          </w:tcPr>
          <w:p>
            <w:pPr>
              <w:jc w:val="left"/>
            </w:pPr>
            <w:r>
              <w:rPr>
                <w:rFonts w:ascii="Times New Roman" w:hAnsi="Times New Roman"/>
                <w:sz w:val="14"/>
              </w:rPr>
              <w:t>Aturan ambang 0,5: FPR uji dan recall uji</w:t>
            </w:r>
          </w:p>
        </w:tc>
        <w:tc>
          <w:tcPr>
            <w:tcW w:type="dxa" w:w="3118"/>
          </w:tcPr>
          <w:p>
            <w:pPr>
              <w:jc w:val="left"/>
            </w:pPr>
            <w:r>
              <w:rPr>
                <w:rFonts w:ascii="Times New Roman" w:hAnsi="Times New Roman"/>
                <w:sz w:val="14"/>
              </w:rPr>
              <w:t>7,6497 %; 0,7380</w:t>
            </w:r>
          </w:p>
        </w:tc>
        <w:tc>
          <w:tcPr>
            <w:tcW w:type="dxa" w:w="3118"/>
          </w:tcPr>
          <w:p>
            <w:pPr>
              <w:jc w:val="left"/>
            </w:pPr>
            <w:r>
              <w:rPr>
                <w:rFonts w:ascii="Times New Roman" w:hAnsi="Times New Roman"/>
                <w:sz w:val="14"/>
              </w:rPr>
              <w:t>test_metrics_primary_seed.csv (eksperimen 7, seed 13)</w:t>
            </w:r>
          </w:p>
        </w:tc>
      </w:tr>
      <w:tr>
        <w:tc>
          <w:tcPr>
            <w:tcW w:type="dxa" w:w="3118"/>
          </w:tcPr>
          <w:p>
            <w:pPr>
              <w:jc w:val="left"/>
            </w:pPr>
            <w:r>
              <w:rPr>
                <w:rFonts w:ascii="Times New Roman" w:hAnsi="Times New Roman"/>
                <w:sz w:val="14"/>
              </w:rPr>
              <w:t>FPR pada URL benign dengan panjang &lt;= 30 karakter</w:t>
            </w:r>
          </w:p>
        </w:tc>
        <w:tc>
          <w:tcPr>
            <w:tcW w:type="dxa" w:w="3118"/>
          </w:tcPr>
          <w:p>
            <w:pPr>
              <w:jc w:val="left"/>
            </w:pPr>
            <w:r>
              <w:rPr>
                <w:rFonts w:ascii="Times New Roman" w:hAnsi="Times New Roman"/>
                <w:sz w:val="14"/>
              </w:rPr>
              <w:t>21,8 %</w:t>
            </w:r>
          </w:p>
        </w:tc>
        <w:tc>
          <w:tcPr>
            <w:tcW w:type="dxa" w:w="3118"/>
          </w:tcPr>
          <w:p>
            <w:pPr>
              <w:jc w:val="left"/>
            </w:pPr>
            <w:r>
              <w:rPr>
                <w:rFonts w:ascii="Times New Roman" w:hAnsi="Times New Roman"/>
                <w:sz w:val="14"/>
              </w:rPr>
              <w:t>category_error_table.csv (eksperimen 8), kategori url_length_band &lt;=30</w:t>
            </w:r>
          </w:p>
        </w:tc>
      </w:tr>
      <w:tr>
        <w:tc>
          <w:tcPr>
            <w:tcW w:type="dxa" w:w="3118"/>
          </w:tcPr>
          <w:p>
            <w:pPr>
              <w:jc w:val="left"/>
            </w:pPr>
            <w:r>
              <w:rPr>
                <w:rFonts w:ascii="Times New Roman" w:hAnsi="Times New Roman"/>
                <w:sz w:val="14"/>
              </w:rPr>
              <w:t>Registrable domain unik dan baris ber-alamat IP pada PhiUSIIL</w:t>
            </w:r>
          </w:p>
        </w:tc>
        <w:tc>
          <w:tcPr>
            <w:tcW w:type="dxa" w:w="3118"/>
          </w:tcPr>
          <w:p>
            <w:pPr>
              <w:jc w:val="left"/>
            </w:pPr>
            <w:r>
              <w:rPr>
                <w:rFonts w:ascii="Times New Roman" w:hAnsi="Times New Roman"/>
                <w:sz w:val="14"/>
              </w:rPr>
              <w:t>175.509; 636</w:t>
            </w:r>
          </w:p>
        </w:tc>
        <w:tc>
          <w:tcPr>
            <w:tcW w:type="dxa" w:w="3118"/>
          </w:tcPr>
          <w:p>
            <w:pPr>
              <w:jc w:val="left"/>
            </w:pPr>
            <w:r>
              <w:rPr>
                <w:rFonts w:ascii="Times New Roman" w:hAnsi="Times New Roman"/>
                <w:sz w:val="14"/>
              </w:rPr>
              <w:t>phiusiil_leakage_audit.md</w:t>
            </w:r>
          </w:p>
        </w:tc>
      </w:tr>
    </w:tbl>
    <w:p>
      <w:pPr>
        <w:pStyle w:val="Heading2"/>
        <w:ind w:firstLine="0"/>
        <w:jc w:val="left"/>
      </w:pPr>
      <w:r>
        <w:rPr>
          <w:rFonts w:ascii="Times New Roman" w:hAnsi="Times New Roman" w:eastAsia="Times New Roman"/>
          <w:sz w:val="20"/>
        </w:rPr>
        <w:t>3.10 Pembahasan</w:t>
      </w:r>
    </w:p>
    <w:p>
      <w:pPr>
        <w:spacing w:after="60"/>
        <w:ind w:firstLine="283"/>
        <w:jc w:val="both"/>
      </w:pPr>
      <w:r>
        <w:rPr>
          <w:rFonts w:ascii="Times New Roman" w:hAnsi="Times New Roman" w:eastAsia="Times New Roman"/>
          <w:sz w:val="19"/>
        </w:rPr>
        <w:t>Temuan audit konsisten dengan literatur yang menempatkan desain dataset, ketidakmandirian sampel, dan stabilitas fitur sebagai ancaman terhadap generalisasi [2], [3], [5], [6], [9]. Pada PhiUSIIL, selisih rerata teramati antarprotokol kecil, yaitu 0,0002–0,0012 dalam F1; nilai ini tidak dibandingkan secara numerik dengan studi yang menggunakan korpus atau protokol berbeda. Dua kolom A0 memiliki AUC tunggal sekitar 0,988 atau lebih, sementara metrik A0 teramati mendekati satu. Pola ini konsisten dengan saturasi benchmark deskriptif, tetapi penelitian tidak menetapkan mekanismenya atau memisahkan kontribusi relatif fitur dan paparan domain. Nilai AUC menunjukkan separabilitas kelas saja; nilai tersebut tidak menunjukkan bahwa fitur tersimpan independen dari label atau paparan domain.</w:t>
      </w:r>
    </w:p>
    <w:p>
      <w:pPr>
        <w:spacing w:after="60"/>
        <w:ind w:firstLine="283"/>
        <w:jc w:val="both"/>
      </w:pPr>
      <w:r>
        <w:rPr>
          <w:rFonts w:ascii="Times New Roman" w:hAnsi="Times New Roman" w:eastAsia="Times New Roman"/>
          <w:sz w:val="19"/>
        </w:rPr>
        <w:t xml:space="preserve">Implikasinya bersifat metodologis, bukan kompetitif. Perbedaan kecil F1 </w:t>
      </w:r>
      <w:r>
        <w:rPr>
          <w:rFonts w:ascii="Times New Roman" w:hAnsi="Times New Roman" w:eastAsia="Times New Roman"/>
          <w:i/>
          <w:sz w:val="19"/>
        </w:rPr>
        <w:t>site-disjoint</w:t>
      </w:r>
      <w:r>
        <w:rPr>
          <w:rFonts w:ascii="Times New Roman" w:hAnsi="Times New Roman" w:eastAsia="Times New Roman"/>
          <w:sz w:val="19"/>
        </w:rPr>
        <w:t>–acak yang teramati perlu dilaporkan bersama F1 absolut yang mendekati satu serta AUC tunggal dua kolom yang dipertahankan dalam A0. Hasil tersebut menggambarkan benchmark ini; hasil itu tidak menetapkan penyebabnya atau efek kausal protokol. Kedua angka perlu dilaporkan bersama tanpa menyebut kedua kolom sebagai proksi label yang telah terbukti.</w:t>
      </w:r>
    </w:p>
    <w:p>
      <w:pPr>
        <w:spacing w:after="60"/>
        <w:ind w:firstLine="283"/>
        <w:jc w:val="both"/>
      </w:pPr>
      <w:r>
        <w:rPr>
          <w:rFonts w:ascii="Times New Roman" w:hAnsi="Times New Roman" w:eastAsia="Times New Roman"/>
          <w:sz w:val="19"/>
        </w:rPr>
        <w:t>Ablasi kelompok fitur konten menunjukkan penurunan F1 terukur dengan interval bootstrap F1 berpasangan yang tidak memuat nol untuk LightGBM maupun XGBoost; besar efeknya sekitar seperseribu F1. Pada rata-rata partisi uji 44.213,6 baris, jumlah kesalahan A0→A1 meningkat dari 12,8 menjadi 32,2 pada LightGBM dan dari 10,4 menjadi 39,0 pada XGBoost. Perbandingan ini menunjukkan perbedaan antara keterdeteksian statistik dan besar efek. Skor A0 mendekati satu pada benchmark ini, tetapi kontras kelompok tersebut tidak mengidentifikasi mengapa benchmark tersaturasi. Konsekuensi deployment tidak dapat disimpulkan tanpa prevalensi, biaya kesalahan, dan pemilihan ambang yang relevan.</w:t>
      </w:r>
    </w:p>
    <w:p>
      <w:pPr>
        <w:spacing w:after="60"/>
        <w:ind w:firstLine="283"/>
        <w:jc w:val="both"/>
      </w:pPr>
      <w:r>
        <w:rPr>
          <w:rFonts w:ascii="Times New Roman" w:hAnsi="Times New Roman" w:eastAsia="Times New Roman"/>
          <w:sz w:val="19"/>
        </w:rPr>
        <w:t xml:space="preserve">Rangkaian eksperimen mengubah posisi kontribusi artikel ini. Nilai model tidak melampaui </w:t>
      </w:r>
      <w:r>
        <w:rPr>
          <w:rFonts w:ascii="Times New Roman" w:hAnsi="Times New Roman" w:eastAsia="Times New Roman"/>
          <w:i/>
          <w:sz w:val="19"/>
        </w:rPr>
        <w:t>state of the art</w:t>
      </w:r>
      <w:r>
        <w:rPr>
          <w:rFonts w:ascii="Times New Roman" w:hAnsi="Times New Roman" w:eastAsia="Times New Roman"/>
          <w:sz w:val="19"/>
        </w:rPr>
        <w:t>; justru eksperimen menunjukkan bahwa skor hampir sempurna pada PhiUSIIL tidak menjamin portabilitas. Evaluasi temporal dalam-korpus menghasilkan F1 sekitar 0,80, sedangkan transfer PhiUSIIL→PhreshPhish dengan A2 yang sama turun menjadi sekitar 0,60 dan salah menandai hampir seluruh URL benign. Hasil ambang kemudian memperlihatkan bahwa FPR dapat ditekan, tetapi biayanya adalah penurunan recall sekitar 19–26 poin persentase. Keunggulan penelitian ini karena itu berada pada desain evaluasi dan batas klaim, bukan pada nilai klasifikasi tertinggi.</w:t>
      </w:r>
    </w:p>
    <w:p>
      <w:pPr>
        <w:spacing w:after="60"/>
        <w:ind w:firstLine="283"/>
        <w:jc w:val="both"/>
      </w:pPr>
      <w:r>
        <w:rPr>
          <w:rFonts w:ascii="Times New Roman" w:hAnsi="Times New Roman" w:eastAsia="Times New Roman"/>
          <w:sz w:val="19"/>
        </w:rPr>
        <w:t>Keterbatasan penelitian membatasi generalisasi secara tegas. Pertama, hanya dua korpus, dua keluarga gradient boosting, dua arah transfer (PhiUSIIL→PhreshPhish dan PhreshPhish→PhiUSIIL), dan satu snapshot target yang diuji; hasil tidak mewakili seluruh feed phishing atau periode lain. Kedua, transfer langsung mengontrol representasi dan adaptasi target, tetapi tidak memisahkan penyebab pergeseran karena vendor, waktu, populasi, dan prevalensi berubah bersama. Ketiga, fold sumber transfer berasal dari pembagian acak PhiUSIIL; F1 sumber karena itu bukan estimasi portabilitas ke domain baru. Keempat, ambang dipilih pada satu periode validasi PhreshPhish dan hanya diuji pada satu periode berikutnya; pencapaian batas FPR validasi tidak menjamin batas yang sama pada deployment. Kelima, taksonomi memakai kategori yang ditentukan manual, kedalaman subdomain perkiraan tanpa snapshot PSL privat, dan interval Wilson per baris yang tidak menangkap klaster domain; analisis tersebut eksploratif karena kohort uji telah diperiksa. Keenam, variasi seed tidak menggantikan variasi korpus atau periode, dan XGBoost deterministik pada konfigurasi tertentu. Ketujuh, penelitian tidak membandingkan ulang seluruh metode SOTA dalam pipeline yang sama, sehingga tidak mendukung klaim peringkat performa.</w:t>
      </w:r>
    </w:p>
    <w:p>
      <w:pPr>
        <w:pStyle w:val="Heading1"/>
        <w:ind w:firstLine="0"/>
        <w:jc w:val="center"/>
      </w:pPr>
      <w:r>
        <w:rPr>
          <w:rFonts w:ascii="Times New Roman" w:hAnsi="Times New Roman" w:eastAsia="Times New Roman"/>
          <w:sz w:val="21"/>
        </w:rPr>
        <w:t>4. KESIMPULAN</w:t>
      </w:r>
    </w:p>
    <w:p>
      <w:pPr>
        <w:spacing w:after="60"/>
        <w:ind w:firstLine="283"/>
        <w:jc w:val="both"/>
      </w:pPr>
      <w:r>
        <w:rPr>
          <w:rFonts w:ascii="Times New Roman" w:hAnsi="Times New Roman" w:eastAsia="Times New Roman"/>
          <w:sz w:val="19"/>
        </w:rPr>
        <w:t xml:space="preserve">Penelitian ini menunjukkan mengapa kinerja benchmark, evaluasi temporal dalam-korpus, dan portabilitas lintas-korpus perlu dibedakan pada deteksi phishing URL. Pada PhiUSIIL, F1 </w:t>
      </w:r>
      <w:r>
        <w:rPr>
          <w:rFonts w:ascii="Times New Roman" w:hAnsi="Times New Roman" w:eastAsia="Times New Roman"/>
          <w:i/>
          <w:sz w:val="19"/>
        </w:rPr>
        <w:t>site-disjoint</w:t>
      </w:r>
      <w:r>
        <w:rPr>
          <w:rFonts w:ascii="Times New Roman" w:hAnsi="Times New Roman" w:eastAsia="Times New Roman"/>
          <w:sz w:val="19"/>
        </w:rPr>
        <w:t xml:space="preserve"> adalah 0,999623 bersama dua fitur yang dipertahankan dengan AUC tunggal sekitar 0,988 atau lebih. Kontras kelompok A1−A0 sekitar seperseribu F1. Temuan ini menggambarkan saturasi pada benchmark tersebut; penelitian tidak menetapkan penyebabnya.</w:t>
      </w:r>
    </w:p>
    <w:p>
      <w:pPr>
        <w:spacing w:after="60"/>
        <w:ind w:firstLine="283"/>
        <w:jc w:val="both"/>
      </w:pPr>
      <w:r>
        <w:rPr>
          <w:rFonts w:ascii="Times New Roman" w:hAnsi="Times New Roman" w:eastAsia="Times New Roman"/>
          <w:sz w:val="19"/>
        </w:rPr>
        <w:t>Evaluasi temporal A2 dalam PhreshPhish mencapai rerata F1 0,800461. Uji yang lebih ketat—melatih A2 hanya pada PhiUSIIL dan menerapkannya tanpa adaptasi pada PhreshPhish—menghasilkan F1 0,599064, FPR 0,986478, ROC-AUC 0,382566, dan MCC negatif untuk LightGBM seed 42. Hasil tersebut menunjukkan kegagalan portabilitas pada pasangan korpus yang diuji, tetapi tidak mengidentifikasi penyebab distribusionalnya.</w:t>
      </w:r>
    </w:p>
    <w:p>
      <w:pPr>
        <w:spacing w:after="60"/>
        <w:ind w:firstLine="283"/>
        <w:jc w:val="both"/>
      </w:pPr>
      <w:r>
        <w:rPr>
          <w:rFonts w:ascii="Times New Roman" w:hAnsi="Times New Roman" w:eastAsia="Times New Roman"/>
          <w:sz w:val="19"/>
        </w:rPr>
        <w:t>Pemilihan ambang berbasis validasi dapat menekan FPR uji dari 7,65% menjadi 1,14%, tetapi recall turun dari 0,738 menjadi 0,544. Analisis galat deskriptif menemukan 37,1% dari seluruh FN pada kategori host platform dan FPR 21,8% pada URL benign dengan panjang paling banyak 30 karakter. Ketidakpastian antar-klaster domain untuk proporsi FN platform belum terkuantifikasi secara reproduktif dan tidak digunakan untuk inferensi. Kategori kohort ini saling tumpang tindih dan tidak menetapkan kelayakan operasional, yang tidak dapat disimpulkan dari F1 saja.</w:t>
      </w:r>
    </w:p>
    <w:p>
      <w:pPr>
        <w:spacing w:after="60"/>
        <w:ind w:firstLine="283"/>
        <w:jc w:val="both"/>
      </w:pPr>
      <w:r>
        <w:rPr>
          <w:rFonts w:ascii="Times New Roman" w:hAnsi="Times New Roman" w:eastAsia="Times New Roman"/>
          <w:sz w:val="19"/>
        </w:rPr>
        <w:t>Kontribusi artikel ini bukan model baru atau skor SOTA, melainkan rantai audit yang dapat ditelusuri melalui artefak tersimpan dan membatasi klaim pada bukti yang benar-benar diuji. Validasi berikutnya dapat menggunakan snapshot waktu tambahan atau feed eksternal yang belum pernah diperiksa; klaim prospektif memerlukan kohort baru dan protokol terdokumentasi yang membatasi akses terhadap label serta hasilnya. Pengujian kategori galat dengan model multivariat atau rancangan terkontrol memerlukan bukti tersendiri. Dataset tambahan tersebut sebaiknya diperlakukan sebagai validasi eksternal terencana, bukan ditambahkan tanpa pertanyaan penelitian yang spesifik.</w:t>
      </w:r>
    </w:p>
    <w:p>
      <w:pPr>
        <w:pStyle w:val="Heading1"/>
        <w:ind w:firstLine="0"/>
        <w:jc w:val="center"/>
      </w:pPr>
      <w:r>
        <w:rPr>
          <w:rFonts w:ascii="Times New Roman" w:hAnsi="Times New Roman" w:eastAsia="Times New Roman"/>
          <w:sz w:val="21"/>
        </w:rPr>
        <w:t>5. PERNYATAAN PENULIS</w:t>
      </w:r>
    </w:p>
    <w:p>
      <w:pPr>
        <w:pStyle w:val="Heading2"/>
        <w:ind w:firstLine="0"/>
        <w:jc w:val="left"/>
      </w:pPr>
      <w:r>
        <w:rPr>
          <w:rFonts w:ascii="Times New Roman" w:hAnsi="Times New Roman" w:eastAsia="Times New Roman"/>
          <w:sz w:val="20"/>
        </w:rPr>
        <w:t>5.1 Kontribusi Penulis</w:t>
      </w:r>
    </w:p>
    <w:p>
      <w:pPr>
        <w:spacing w:after="60"/>
        <w:ind w:firstLine="283"/>
        <w:jc w:val="both"/>
      </w:pPr>
      <w:r>
        <w:rPr>
          <w:rFonts w:ascii="Times New Roman" w:hAnsi="Times New Roman" w:eastAsia="Times New Roman"/>
          <w:sz w:val="19"/>
        </w:rPr>
        <w:t>Bagian ini menegaskan kontribusi nyata masing-masing penulis mengikuti taksonomi CRediT:</w:t>
      </w:r>
    </w:p>
    <w:p>
      <w:pPr>
        <w:spacing w:after="60"/>
        <w:ind w:firstLine="283"/>
        <w:jc w:val="both"/>
      </w:pPr>
      <w:r>
        <w:rPr>
          <w:rFonts w:ascii="Times New Roman" w:hAnsi="Times New Roman" w:eastAsia="Times New Roman"/>
          <w:sz w:val="19"/>
        </w:rPr>
        <w:t>Konseptualisasi: penulis1;</w:t>
      </w:r>
    </w:p>
    <w:p>
      <w:pPr>
        <w:spacing w:after="60"/>
        <w:ind w:firstLine="283"/>
        <w:jc w:val="both"/>
      </w:pPr>
      <w:r>
        <w:rPr>
          <w:rFonts w:ascii="Times New Roman" w:hAnsi="Times New Roman" w:eastAsia="Times New Roman"/>
          <w:sz w:val="19"/>
        </w:rPr>
        <w:t>Metodologi: penulis1, penulis2;</w:t>
      </w:r>
    </w:p>
    <w:p>
      <w:pPr>
        <w:spacing w:after="60"/>
        <w:ind w:firstLine="283"/>
        <w:jc w:val="both"/>
      </w:pPr>
      <w:r>
        <w:rPr>
          <w:rFonts w:ascii="Times New Roman" w:hAnsi="Times New Roman" w:eastAsia="Times New Roman"/>
          <w:sz w:val="19"/>
        </w:rPr>
        <w:t>Perangkat Lunak: penulis1;</w:t>
      </w:r>
    </w:p>
    <w:p>
      <w:pPr>
        <w:spacing w:after="60"/>
        <w:ind w:firstLine="283"/>
        <w:jc w:val="both"/>
      </w:pPr>
      <w:r>
        <w:rPr>
          <w:rFonts w:ascii="Times New Roman" w:hAnsi="Times New Roman" w:eastAsia="Times New Roman"/>
          <w:sz w:val="19"/>
        </w:rPr>
        <w:t>Validasi: penulis1, penulis2;</w:t>
      </w:r>
    </w:p>
    <w:p>
      <w:pPr>
        <w:spacing w:after="60"/>
        <w:ind w:firstLine="283"/>
        <w:jc w:val="both"/>
      </w:pPr>
      <w:r>
        <w:rPr>
          <w:rFonts w:ascii="Times New Roman" w:hAnsi="Times New Roman" w:eastAsia="Times New Roman"/>
          <w:sz w:val="19"/>
        </w:rPr>
        <w:t>Analisis Formal: penulis1;</w:t>
      </w:r>
    </w:p>
    <w:p>
      <w:pPr>
        <w:spacing w:after="60"/>
        <w:ind w:firstLine="283"/>
        <w:jc w:val="both"/>
      </w:pPr>
      <w:r>
        <w:rPr>
          <w:rFonts w:ascii="Times New Roman" w:hAnsi="Times New Roman" w:eastAsia="Times New Roman"/>
          <w:sz w:val="19"/>
        </w:rPr>
        <w:t>Investigasi: penulis1;</w:t>
      </w:r>
    </w:p>
    <w:p>
      <w:pPr>
        <w:spacing w:after="60"/>
        <w:ind w:firstLine="283"/>
        <w:jc w:val="both"/>
      </w:pPr>
      <w:r>
        <w:rPr>
          <w:rFonts w:ascii="Times New Roman" w:hAnsi="Times New Roman" w:eastAsia="Times New Roman"/>
          <w:sz w:val="19"/>
        </w:rPr>
        <w:t>Sumber Daya: penulis1;</w:t>
      </w:r>
    </w:p>
    <w:p>
      <w:pPr>
        <w:spacing w:after="60"/>
        <w:ind w:firstLine="283"/>
        <w:jc w:val="both"/>
      </w:pPr>
      <w:r>
        <w:rPr>
          <w:rFonts w:ascii="Times New Roman" w:hAnsi="Times New Roman" w:eastAsia="Times New Roman"/>
          <w:sz w:val="19"/>
        </w:rPr>
        <w:t>Kurasi Data: penulis1;</w:t>
      </w:r>
    </w:p>
    <w:p>
      <w:pPr>
        <w:spacing w:after="60"/>
        <w:ind w:firstLine="283"/>
        <w:jc w:val="both"/>
      </w:pPr>
      <w:r>
        <w:rPr>
          <w:rFonts w:ascii="Times New Roman" w:hAnsi="Times New Roman" w:eastAsia="Times New Roman"/>
          <w:sz w:val="19"/>
        </w:rPr>
        <w:t>Penulisan – draf awal: penulis1;</w:t>
      </w:r>
    </w:p>
    <w:p>
      <w:pPr>
        <w:spacing w:after="60"/>
        <w:ind w:firstLine="283"/>
        <w:jc w:val="both"/>
      </w:pPr>
      <w:r>
        <w:rPr>
          <w:rFonts w:ascii="Times New Roman" w:hAnsi="Times New Roman" w:eastAsia="Times New Roman"/>
          <w:sz w:val="19"/>
        </w:rPr>
        <w:t>Penulisan – tinjauan dan penyuntingan: penulis1, penulis2, penulis3;</w:t>
      </w:r>
    </w:p>
    <w:p>
      <w:pPr>
        <w:spacing w:after="60"/>
        <w:ind w:firstLine="283"/>
        <w:jc w:val="both"/>
      </w:pPr>
      <w:r>
        <w:rPr>
          <w:rFonts w:ascii="Times New Roman" w:hAnsi="Times New Roman" w:eastAsia="Times New Roman"/>
          <w:sz w:val="19"/>
        </w:rPr>
        <w:t>Visualisasi: penulis1;</w:t>
      </w:r>
    </w:p>
    <w:p>
      <w:pPr>
        <w:spacing w:after="60"/>
        <w:ind w:firstLine="283"/>
        <w:jc w:val="both"/>
      </w:pPr>
      <w:r>
        <w:rPr>
          <w:rFonts w:ascii="Times New Roman" w:hAnsi="Times New Roman" w:eastAsia="Times New Roman"/>
          <w:sz w:val="19"/>
        </w:rPr>
        <w:t>Supervisi: penulis2, penulis3;</w:t>
      </w:r>
    </w:p>
    <w:p>
      <w:pPr>
        <w:spacing w:after="60"/>
        <w:ind w:firstLine="283"/>
        <w:jc w:val="both"/>
      </w:pPr>
      <w:r>
        <w:rPr>
          <w:rFonts w:ascii="Times New Roman" w:hAnsi="Times New Roman" w:eastAsia="Times New Roman"/>
          <w:sz w:val="19"/>
        </w:rPr>
        <w:t>Administrasi Proyek: penulis1;</w:t>
      </w:r>
    </w:p>
    <w:p>
      <w:pPr>
        <w:spacing w:after="60"/>
        <w:ind w:firstLine="283"/>
        <w:jc w:val="both"/>
      </w:pPr>
      <w:r>
        <w:rPr>
          <w:rFonts w:ascii="Times New Roman" w:hAnsi="Times New Roman" w:eastAsia="Times New Roman"/>
          <w:sz w:val="19"/>
        </w:rPr>
        <w:t>Perolehan Pendanaan: tidak ada dana eksternal; penelitian didanai mandiri oleh para penulis.</w:t>
      </w:r>
    </w:p>
    <w:p>
      <w:pPr>
        <w:spacing w:after="60"/>
        <w:ind w:firstLine="283"/>
        <w:jc w:val="both"/>
      </w:pPr>
      <w:r>
        <w:rPr>
          <w:rFonts w:ascii="Times New Roman" w:hAnsi="Times New Roman" w:eastAsia="Times New Roman"/>
          <w:sz w:val="19"/>
        </w:rPr>
        <w:t>Seluruh penulis telah membaca dan menyetujui versi akhir manuskrip ini.</w:t>
      </w:r>
    </w:p>
    <w:p>
      <w:pPr>
        <w:pStyle w:val="Heading2"/>
        <w:ind w:firstLine="0"/>
        <w:jc w:val="left"/>
      </w:pPr>
      <w:r>
        <w:rPr>
          <w:rFonts w:ascii="Times New Roman" w:hAnsi="Times New Roman" w:eastAsia="Times New Roman"/>
          <w:sz w:val="20"/>
        </w:rPr>
        <w:t>5.2 Ketersediaan Data</w:t>
      </w:r>
    </w:p>
    <w:p>
      <w:pPr>
        <w:spacing w:after="60"/>
        <w:ind w:firstLine="283"/>
        <w:jc w:val="both"/>
      </w:pPr>
      <w:r>
        <w:rPr>
          <w:rFonts w:ascii="Times New Roman" w:hAnsi="Times New Roman" w:eastAsia="Times New Roman"/>
          <w:sz w:val="19"/>
        </w:rPr>
        <w:t>Paket tinjauan kandidat disusun dalam lima direktori utama: 01_MANUSCRIPT (naskah kandidat dan hasil render), 02_CLAIM_EVIDENCE (audit Stage-1, QA P0, register perubahan P1, serta ledger sumber), 03_EXPERIMENTS (notebook yang telah dieksekusi beserta metrik, ledger, dan artefak run temporal kanonik), 04_ENVIRONMENT (catatan dependensi dan perintah yang diuji), dan 05_LIMITATIONS (bukti yang belum tersedia serta batas reproduksi). Setiap berkas didaftarkan pada MANIFEST.csv bersama peran, ukuran, SHA-256, dan status reproduksi; MANIFEST.sha256 memuat checksum untuk pemeriksaan mandiri. Paket ini tidak memuat korpus mentah PhiUSIIL dan PhreshPhish, biner model terlatih, pemisahan baris lengkap, prediksi per baris, arsip duplikat, dan cache yang dihasilkan alat bantu. Artefak yang dikecualikan beserta alasannya didaftarkan terpisah pada OMITTED_ARTIFACTS.csv, dengan status INCLUDED, WORKSPACE_ONLY, MISSING, OMITTED_SIZE, OMITTED_LICENSE_PRIVACY, atau NOT_REQUIRED. Karena itu paket ini adalah bundel bukti yang dapat diaudit, bukan bundel yang dapat direproduksi penuh di lingkungan bersih tanpa mengambil data dari penyedia aslinya. Salinan paket tersedia pada repositori publik https://github.com/Handy-Wibowo/supreme-sniffle dan diarsipkan dengan DOI konsep 10.5281/zenodo.23847784, dengan MANIFEST.sha256 untuk verifikasi independen; DOI konsep tersebut selalu menunjuk rilis terbaru. Artefak yang dikecualikan tidak dihasilkan oleh satu skrip tunggal, dan pemetaan berikut menyebut artefak yang benar-benar tersedia. Pembersihan dan pembagian PhiUSIIL disiapkan oleh notebook tahap awal, dengan split_random.csv dan split_sitedisjoint.csv sebagai manifest ID-fold yang menjadi masukan setiap arm. Benchmark A0/A1/A2 dan ablasi dibangkitkan oleh paired_bootstrap_E4/src/run_experiment.py dan diringkas oleh paired_bootstrap_E4/src/summarize.py; nama folder historis E4 tidak berarti notebook E3 menghasilkan benchmark final, dan notebook 03_evaluation_pipeline_v2_run_complete.ipynb memakai keluarga fitur serta konvensi label yang berbeda sehingga tidak dipakai untuk metrik positif-phishing. Evaluasi temporal memakai temporal_scripts/run_temporal.py untuk jalur kanonik, sedangkan interval yang dikutip Tabel 6 berasal dari paired_bootstrap_E4/bootstrap_temporal.csv. Transfer maju dijalankan oleh Exp6_Cross_Corpus/transfer.executed.ipynb; evaluasi ambang oleh Exp7_Operational_Threshold/01_operational_thresholds.executed.ipynb dengan paket src eksperimen 7; taksonomi galat oleh Exp8_Error_Taxonomy/error_taxonomy.executed.ipynb; dan transfer balik oleh Exp9_reverse_transfer/reverse_transfer.ipynb. Kedua manifest split memuat 1.176.850 baris, yaitu lima seed kali 235.370 URL; yang tidak dibundel adalah data mentah, biner model, dan prediksi per baris, bukan manifest ID-fold. Snapshot arsip yang dirujuk adalah DOI versi 10.5281/zenodo.23860185 di bawah DOI konsep 10.5281/zenodo.23847784.</w:t>
      </w:r>
    </w:p>
    <w:p>
      <w:pPr>
        <w:pStyle w:val="Heading2"/>
        <w:ind w:firstLine="0"/>
        <w:jc w:val="left"/>
      </w:pPr>
      <w:r>
        <w:rPr>
          <w:rFonts w:ascii="Times New Roman" w:hAnsi="Times New Roman" w:eastAsia="Times New Roman"/>
          <w:sz w:val="20"/>
        </w:rPr>
        <w:t>5.3 Pendanaan</w:t>
      </w:r>
    </w:p>
    <w:p>
      <w:pPr>
        <w:spacing w:after="60"/>
        <w:ind w:firstLine="283"/>
        <w:jc w:val="both"/>
      </w:pPr>
      <w:r>
        <w:rPr>
          <w:rFonts w:ascii="Times New Roman" w:hAnsi="Times New Roman" w:eastAsia="Times New Roman"/>
          <w:sz w:val="19"/>
        </w:rPr>
        <w:t>Penelitian ini didanai mandiri oleh para penulis (self-funded).</w:t>
      </w:r>
    </w:p>
    <w:p>
      <w:pPr>
        <w:pStyle w:val="Heading2"/>
        <w:ind w:firstLine="0"/>
        <w:jc w:val="left"/>
      </w:pPr>
      <w:r>
        <w:rPr>
          <w:rFonts w:ascii="Times New Roman" w:hAnsi="Times New Roman" w:eastAsia="Times New Roman"/>
          <w:sz w:val="20"/>
        </w:rPr>
        <w:t>5.4 Pernyataan Dewan Peninjau Institusional</w:t>
      </w:r>
    </w:p>
    <w:p>
      <w:pPr>
        <w:spacing w:after="60"/>
        <w:ind w:firstLine="283"/>
        <w:jc w:val="both"/>
      </w:pPr>
      <w:r>
        <w:rPr>
          <w:rFonts w:ascii="Times New Roman" w:hAnsi="Times New Roman" w:eastAsia="Times New Roman"/>
          <w:sz w:val="19"/>
        </w:rPr>
        <w:t>Tidak Berlaku (Not applicable).</w:t>
      </w:r>
    </w:p>
    <w:p>
      <w:pPr>
        <w:pStyle w:val="Heading2"/>
        <w:ind w:firstLine="0"/>
        <w:jc w:val="left"/>
      </w:pPr>
      <w:r>
        <w:rPr>
          <w:rFonts w:ascii="Times New Roman" w:hAnsi="Times New Roman" w:eastAsia="Times New Roman"/>
          <w:sz w:val="20"/>
        </w:rPr>
        <w:t>5.5 Pernyataan Persetujuan Berdasarkan Informasi</w:t>
      </w:r>
    </w:p>
    <w:p>
      <w:pPr>
        <w:spacing w:after="60"/>
        <w:ind w:firstLine="283"/>
        <w:jc w:val="both"/>
      </w:pPr>
      <w:r>
        <w:rPr>
          <w:rFonts w:ascii="Times New Roman" w:hAnsi="Times New Roman" w:eastAsia="Times New Roman"/>
          <w:sz w:val="19"/>
        </w:rPr>
        <w:t>Tidak Berlaku (Not applicable).</w:t>
      </w:r>
    </w:p>
    <w:p>
      <w:pPr>
        <w:pStyle w:val="Heading2"/>
        <w:ind w:firstLine="0"/>
        <w:jc w:val="left"/>
      </w:pPr>
      <w:r>
        <w:rPr>
          <w:rFonts w:ascii="Times New Roman" w:hAnsi="Times New Roman" w:eastAsia="Times New Roman"/>
          <w:sz w:val="20"/>
        </w:rPr>
        <w:t>5.6 Pernyataan Konflik Kepentingan</w:t>
      </w:r>
    </w:p>
    <w:p>
      <w:pPr>
        <w:spacing w:after="60"/>
        <w:ind w:firstLine="283"/>
        <w:jc w:val="both"/>
      </w:pPr>
      <w:r>
        <w:rPr>
          <w:rFonts w:ascii="Times New Roman" w:hAnsi="Times New Roman" w:eastAsia="Times New Roman"/>
          <w:sz w:val="19"/>
        </w:rPr>
        <w:t>Para penulis menyatakan bahwa mereka tidak memiliki kepentingan keuangan yang bersaing atau hubungan pribadi yang diketahui yang dapat dianggap memengaruhi pekerjaan yang dilaporkan dalam artikel ini.</w:t>
      </w:r>
    </w:p>
    <w:p>
      <w:pPr>
        <w:pStyle w:val="Heading2"/>
        <w:ind w:firstLine="0"/>
        <w:jc w:val="left"/>
      </w:pPr>
      <w:r>
        <w:rPr>
          <w:rFonts w:ascii="Times New Roman" w:hAnsi="Times New Roman" w:eastAsia="Times New Roman"/>
          <w:sz w:val="20"/>
        </w:rPr>
        <w:t>5.7 Penggunaan AI Generatif dan Teknologi Berbantuan AI dalam Proses Penulisan</w:t>
      </w:r>
    </w:p>
    <w:p>
      <w:pPr>
        <w:spacing w:after="60"/>
        <w:ind w:firstLine="283"/>
        <w:jc w:val="both"/>
      </w:pPr>
      <w:r>
        <w:rPr>
          <w:rFonts w:ascii="Times New Roman" w:hAnsi="Times New Roman" w:eastAsia="Times New Roman"/>
          <w:sz w:val="19"/>
        </w:rPr>
        <w:t>Para penulis menggunakan AI Generatif untuk membantu penyusunan draf dan penyuntingan bahasa pada artikel ini. Seluruh konten telah ditinjau, diverifikasi, dan disunting oleh para penulis yang bertanggung jawab penuh atas integritas dan akurasi karya.</w:t>
      </w:r>
    </w:p>
    <w:p>
      <w:pPr>
        <w:pStyle w:val="Heading1"/>
        <w:ind w:firstLine="0"/>
        <w:jc w:val="center"/>
      </w:pPr>
      <w:r>
        <w:rPr>
          <w:rFonts w:ascii="Times New Roman" w:hAnsi="Times New Roman" w:eastAsia="Times New Roman"/>
          <w:sz w:val="21"/>
        </w:rPr>
        <w:t>REFERENCES</w:t>
      </w:r>
    </w:p>
    <w:p>
      <w:pPr>
        <w:spacing w:after="60"/>
        <w:ind w:firstLine="0" w:left="283"/>
        <w:jc w:val="both"/>
      </w:pPr>
      <w:r>
        <w:rPr>
          <w:rFonts w:ascii="Times New Roman" w:hAnsi="Times New Roman" w:eastAsia="Times New Roman"/>
          <w:sz w:val="16"/>
        </w:rPr>
        <w:t xml:space="preserve">[1] A. Prasad and S. Chandra, "PhiUSIIL: A diverse security profile empowered phishing URL detection framework based on similarity index and incremental learning," </w:t>
      </w:r>
      <w:r>
        <w:rPr>
          <w:rFonts w:ascii="Times New Roman" w:hAnsi="Times New Roman" w:eastAsia="Times New Roman"/>
          <w:i/>
          <w:sz w:val="16"/>
        </w:rPr>
        <w:t>Computers &amp; Security</w:t>
      </w:r>
      <w:r>
        <w:rPr>
          <w:rFonts w:ascii="Times New Roman" w:hAnsi="Times New Roman" w:eastAsia="Times New Roman"/>
          <w:sz w:val="16"/>
        </w:rPr>
        <w:t>, vol. 136, Art. no. 103545, 2024, doi: 10.1016/j.cose.2023.103545.</w:t>
      </w:r>
    </w:p>
    <w:p>
      <w:pPr>
        <w:spacing w:after="60"/>
        <w:ind w:firstLine="0" w:left="283"/>
        <w:jc w:val="both"/>
      </w:pPr>
      <w:r>
        <w:rPr>
          <w:rFonts w:ascii="Times New Roman" w:hAnsi="Times New Roman" w:eastAsia="Times New Roman"/>
          <w:sz w:val="16"/>
        </w:rPr>
        <w:t>[2] T. Dalton, H. Gowda, G. Rao, S. Pargi, A. H. Khodabakhshi, J. Rombs, S. Jou, and M. Marwah, "PhreshPhish: A real-world, high-quality, large-scale phishing website dataset and benchmark," arXiv:2507.10854, 2025. [Preprint].</w:t>
      </w:r>
    </w:p>
    <w:p>
      <w:pPr>
        <w:spacing w:after="60"/>
        <w:ind w:firstLine="0" w:left="283"/>
        <w:jc w:val="both"/>
      </w:pPr>
      <w:r>
        <w:rPr>
          <w:rFonts w:ascii="Times New Roman" w:hAnsi="Times New Roman" w:eastAsia="Times New Roman"/>
          <w:sz w:val="16"/>
        </w:rPr>
        <w:t xml:space="preserve">[3] S. Marchal and N. Asokan, "On designing and evaluating phishing webpage detection techniques for the real world," in </w:t>
      </w:r>
      <w:r>
        <w:rPr>
          <w:rFonts w:ascii="Times New Roman" w:hAnsi="Times New Roman" w:eastAsia="Times New Roman"/>
          <w:i/>
          <w:sz w:val="16"/>
        </w:rPr>
        <w:t>Proc. 11th USENIX Workshop on Cyber Security Experimentation and Test (CSET 18)</w:t>
      </w:r>
      <w:r>
        <w:rPr>
          <w:rFonts w:ascii="Times New Roman" w:hAnsi="Times New Roman" w:eastAsia="Times New Roman"/>
          <w:sz w:val="16"/>
        </w:rPr>
        <w:t>, Baltimore, MD, USA, 2018.</w:t>
      </w:r>
    </w:p>
    <w:p>
      <w:pPr>
        <w:spacing w:after="60"/>
        <w:ind w:firstLine="0" w:left="283"/>
        <w:jc w:val="both"/>
      </w:pPr>
      <w:r>
        <w:rPr>
          <w:rFonts w:ascii="Times New Roman" w:hAnsi="Times New Roman" w:eastAsia="Times New Roman"/>
          <w:sz w:val="16"/>
        </w:rPr>
        <w:t xml:space="preserve">[4] A. El Aassal, S. Baki, A. Das, and R. M. Verma, "An in-depth benchmarking and evaluation of phishing detection research for security needs," </w:t>
      </w:r>
      <w:r>
        <w:rPr>
          <w:rFonts w:ascii="Times New Roman" w:hAnsi="Times New Roman" w:eastAsia="Times New Roman"/>
          <w:i/>
          <w:sz w:val="16"/>
        </w:rPr>
        <w:t>IEEE Access</w:t>
      </w:r>
      <w:r>
        <w:rPr>
          <w:rFonts w:ascii="Times New Roman" w:hAnsi="Times New Roman" w:eastAsia="Times New Roman"/>
          <w:sz w:val="16"/>
        </w:rPr>
        <w:t>, vol. 8, pp. 22170–22192, 2020, doi: 10.1109/ACCESS.2020.2969780.</w:t>
      </w:r>
    </w:p>
    <w:p>
      <w:pPr>
        <w:spacing w:after="60"/>
        <w:ind w:firstLine="0" w:left="283"/>
        <w:jc w:val="both"/>
      </w:pPr>
      <w:r>
        <w:rPr>
          <w:rFonts w:ascii="Times New Roman" w:hAnsi="Times New Roman" w:eastAsia="Times New Roman"/>
          <w:sz w:val="16"/>
        </w:rPr>
        <w:t xml:space="preserve">[5] D. Arp, E. Quiring, F. Pendlebury, A. Warnecke, F. Pierazzi, C. Wressnegger, L. Cavallaro, and K. Rieck, "Dos and don'ts of machine learning in computer security," in </w:t>
      </w:r>
      <w:r>
        <w:rPr>
          <w:rFonts w:ascii="Times New Roman" w:hAnsi="Times New Roman" w:eastAsia="Times New Roman"/>
          <w:i/>
          <w:sz w:val="16"/>
        </w:rPr>
        <w:t>Proc. 31st USENIX Security Symposium</w:t>
      </w:r>
      <w:r>
        <w:rPr>
          <w:rFonts w:ascii="Times New Roman" w:hAnsi="Times New Roman" w:eastAsia="Times New Roman"/>
          <w:sz w:val="16"/>
        </w:rPr>
        <w:t>, Boston, MA, USA, 2022, pp. 3971–3988.</w:t>
      </w:r>
    </w:p>
    <w:p>
      <w:pPr>
        <w:spacing w:after="60"/>
        <w:ind w:firstLine="0" w:left="283"/>
        <w:jc w:val="both"/>
      </w:pPr>
      <w:r>
        <w:rPr>
          <w:rFonts w:ascii="Times New Roman" w:hAnsi="Times New Roman" w:eastAsia="Times New Roman"/>
          <w:sz w:val="16"/>
        </w:rPr>
        <w:t xml:space="preserve">[6] S. Kapoor and A. Narayanan, "Leakage and the reproducibility crisis in machine-learning-based science," </w:t>
      </w:r>
      <w:r>
        <w:rPr>
          <w:rFonts w:ascii="Times New Roman" w:hAnsi="Times New Roman" w:eastAsia="Times New Roman"/>
          <w:i/>
          <w:sz w:val="16"/>
        </w:rPr>
        <w:t>Patterns</w:t>
      </w:r>
      <w:r>
        <w:rPr>
          <w:rFonts w:ascii="Times New Roman" w:hAnsi="Times New Roman" w:eastAsia="Times New Roman"/>
          <w:sz w:val="16"/>
        </w:rPr>
        <w:t>, vol. 4, no. 9, Art. no. 100804, 2023, doi: 10.1016/j.patter.2023.100804.</w:t>
      </w:r>
    </w:p>
    <w:p>
      <w:pPr>
        <w:spacing w:after="60"/>
        <w:ind w:firstLine="0" w:left="283"/>
        <w:jc w:val="both"/>
      </w:pPr>
      <w:r>
        <w:rPr>
          <w:rFonts w:ascii="Times New Roman" w:hAnsi="Times New Roman" w:eastAsia="Times New Roman"/>
          <w:sz w:val="16"/>
        </w:rPr>
        <w:t xml:space="preserve">[7] A. Das, S. Baki, A. El Aassal, R. Verma, and A. Dunbar, "SoK: A comprehensive reexamination of phishing research from the security perspective," </w:t>
      </w:r>
      <w:r>
        <w:rPr>
          <w:rFonts w:ascii="Times New Roman" w:hAnsi="Times New Roman" w:eastAsia="Times New Roman"/>
          <w:i/>
          <w:sz w:val="16"/>
        </w:rPr>
        <w:t>IEEE Communications Surveys &amp; Tutorials</w:t>
      </w:r>
      <w:r>
        <w:rPr>
          <w:rFonts w:ascii="Times New Roman" w:hAnsi="Times New Roman" w:eastAsia="Times New Roman"/>
          <w:sz w:val="16"/>
        </w:rPr>
        <w:t>, vol. 22, no. 1, pp. 671–708, 2020, doi: 10.1109/COMST.2019.2957750.</w:t>
      </w:r>
    </w:p>
    <w:p>
      <w:pPr>
        <w:spacing w:after="60"/>
        <w:ind w:firstLine="0" w:left="283"/>
        <w:jc w:val="both"/>
      </w:pPr>
      <w:r>
        <w:rPr>
          <w:rFonts w:ascii="Times New Roman" w:hAnsi="Times New Roman" w:eastAsia="Times New Roman"/>
          <w:sz w:val="16"/>
        </w:rPr>
        <w:t xml:space="preserve">[8] A. Hannousse and S. Yahiouche, "Towards benchmark datasets for machine learning based website phishing detection: An experimental study," </w:t>
      </w:r>
      <w:r>
        <w:rPr>
          <w:rFonts w:ascii="Times New Roman" w:hAnsi="Times New Roman" w:eastAsia="Times New Roman"/>
          <w:i/>
          <w:sz w:val="16"/>
        </w:rPr>
        <w:t>Engineering Applications of Artificial Intelligence</w:t>
      </w:r>
      <w:r>
        <w:rPr>
          <w:rFonts w:ascii="Times New Roman" w:hAnsi="Times New Roman" w:eastAsia="Times New Roman"/>
          <w:sz w:val="16"/>
        </w:rPr>
        <w:t>, vol. 104, Art. no. 104347, 2021, doi: 10.1016/j.engappai.2021.104347.</w:t>
      </w:r>
    </w:p>
    <w:p>
      <w:pPr>
        <w:spacing w:after="60"/>
        <w:ind w:firstLine="0" w:left="283"/>
        <w:jc w:val="both"/>
      </w:pPr>
      <w:r>
        <w:rPr>
          <w:rFonts w:ascii="Times New Roman" w:hAnsi="Times New Roman" w:eastAsia="Times New Roman"/>
          <w:sz w:val="16"/>
        </w:rPr>
        <w:t xml:space="preserve">[9] M. Mia, D. Derakhshan, and M. M. A. Pritom, "Can features for phishing URL detection be trusted across diverse datasets? A case study with explainable AI," in </w:t>
      </w:r>
      <w:r>
        <w:rPr>
          <w:rFonts w:ascii="Times New Roman" w:hAnsi="Times New Roman" w:eastAsia="Times New Roman"/>
          <w:i/>
          <w:sz w:val="16"/>
        </w:rPr>
        <w:t>Proc. 11th Int. Conf. Networking, Systems, and Security (NSysS)</w:t>
      </w:r>
      <w:r>
        <w:rPr>
          <w:rFonts w:ascii="Times New Roman" w:hAnsi="Times New Roman" w:eastAsia="Times New Roman"/>
          <w:sz w:val="16"/>
        </w:rPr>
        <w:t>, 2024, pp. 137–145, doi: 10.1145/3704522.3704532.</w:t>
      </w:r>
    </w:p>
    <w:p>
      <w:pPr>
        <w:spacing w:after="60"/>
        <w:ind w:firstLine="0" w:left="283"/>
        <w:jc w:val="both"/>
      </w:pPr>
      <w:r>
        <w:rPr>
          <w:rFonts w:ascii="Times New Roman" w:hAnsi="Times New Roman" w:eastAsia="Times New Roman"/>
          <w:sz w:val="16"/>
        </w:rPr>
        <w:t xml:space="preserve">[10] A. Odeh, Q. Abu Al-Haija, A. Aref, and A. Abu Taleb, "Comparative study of CatBoost, XGBoost, and LightGBM for enhanced URL phishing detection: A performance assessment," </w:t>
      </w:r>
      <w:r>
        <w:rPr>
          <w:rFonts w:ascii="Times New Roman" w:hAnsi="Times New Roman" w:eastAsia="Times New Roman"/>
          <w:i/>
          <w:sz w:val="16"/>
        </w:rPr>
        <w:t>Journal of Internet Services and Information Security</w:t>
      </w:r>
      <w:r>
        <w:rPr>
          <w:rFonts w:ascii="Times New Roman" w:hAnsi="Times New Roman" w:eastAsia="Times New Roman"/>
          <w:sz w:val="16"/>
        </w:rPr>
        <w:t>, vol. 13, no. 4, pp. 1–11, 2023, doi: 10.58346/JISIS.2023.I4.001.</w:t>
      </w:r>
    </w:p>
    <w:p>
      <w:pPr>
        <w:spacing w:after="60"/>
        <w:ind w:firstLine="0" w:left="283"/>
        <w:jc w:val="both"/>
      </w:pPr>
      <w:r>
        <w:rPr>
          <w:rFonts w:ascii="Times New Roman" w:hAnsi="Times New Roman" w:eastAsia="Times New Roman"/>
          <w:sz w:val="16"/>
        </w:rPr>
        <w:t xml:space="preserve">[11] N. Nabila, E. Hesti, and A. Aryanti, "Deteksi URL phishing menggunakan natural language processing dan support vector machine berbasis machine learning," </w:t>
      </w:r>
      <w:r>
        <w:rPr>
          <w:rFonts w:ascii="Times New Roman" w:hAnsi="Times New Roman" w:eastAsia="Times New Roman"/>
          <w:i/>
          <w:sz w:val="16"/>
        </w:rPr>
        <w:t>Building of Informatics, Technology and Science (BITS)</w:t>
      </w:r>
      <w:r>
        <w:rPr>
          <w:rFonts w:ascii="Times New Roman" w:hAnsi="Times New Roman" w:eastAsia="Times New Roman"/>
          <w:sz w:val="16"/>
        </w:rPr>
        <w:t>, vol. 7, no. 1, pp. 526–537, 2025, doi: 10.47065/bits.v7i1.7443.</w:t>
      </w:r>
    </w:p>
    <w:p>
      <w:pPr>
        <w:spacing w:after="60"/>
        <w:ind w:firstLine="0" w:left="283"/>
        <w:jc w:val="both"/>
      </w:pPr>
      <w:r>
        <w:rPr>
          <w:rFonts w:ascii="Times New Roman" w:hAnsi="Times New Roman" w:eastAsia="Times New Roman"/>
          <w:sz w:val="16"/>
        </w:rPr>
        <w:t xml:space="preserve">[12] Y. Yoga, F. R. Umbara, and P. N. Sabrina, "Klasifikasi website phishing menggunakan metode XGBoost dengan teknik penyeimbang data radial based undersampling," </w:t>
      </w:r>
      <w:r>
        <w:rPr>
          <w:rFonts w:ascii="Times New Roman" w:hAnsi="Times New Roman" w:eastAsia="Times New Roman"/>
          <w:i/>
          <w:sz w:val="16"/>
        </w:rPr>
        <w:t>Building of Informatics, Technology and Science (BITS)</w:t>
      </w:r>
      <w:r>
        <w:rPr>
          <w:rFonts w:ascii="Times New Roman" w:hAnsi="Times New Roman" w:eastAsia="Times New Roman"/>
          <w:sz w:val="16"/>
        </w:rPr>
        <w:t>, vol. 7, no. 2, pp. 1153–1163, 2025, doi: 10.47065/bits.v7i2.7920.</w:t>
      </w:r>
    </w:p>
    <w:p>
      <w:pPr>
        <w:spacing w:after="60"/>
        <w:ind w:firstLine="0" w:left="283"/>
        <w:jc w:val="both"/>
      </w:pPr>
      <w:r>
        <w:rPr>
          <w:rFonts w:ascii="Times New Roman" w:hAnsi="Times New Roman" w:eastAsia="Times New Roman"/>
          <w:sz w:val="16"/>
        </w:rPr>
        <w:t xml:space="preserve">[13] F. Pendlebury, F. Pierazzi, R. Jordaney, J. Kinder, and L. Cavallaro, "TESSERACT: Eliminating experimental bias in malware classification across space and time," in </w:t>
      </w:r>
      <w:r>
        <w:rPr>
          <w:rFonts w:ascii="Times New Roman" w:hAnsi="Times New Roman" w:eastAsia="Times New Roman"/>
          <w:i/>
          <w:sz w:val="16"/>
        </w:rPr>
        <w:t xml:space="preserve">Proc. 28th USENIX Security Symposium (USENIX Security 19)</w:t>
      </w:r>
      <w:r>
        <w:rPr>
          <w:rFonts w:ascii="Times New Roman" w:hAnsi="Times New Roman" w:eastAsia="Times New Roman"/>
          <w:sz w:val="16"/>
        </w:rPr>
        <w:t xml:space="preserve">, Santa Clara, CA, USA, 2019, pp. 729–746.</w:t>
      </w:r>
    </w:p>
    <w:p>
      <w:pPr>
        <w:spacing w:after="60"/>
        <w:ind w:firstLine="0" w:left="283"/>
        <w:jc w:val="both"/>
      </w:pPr>
      <w:r>
        <w:rPr>
          <w:rFonts w:ascii="Times New Roman" w:hAnsi="Times New Roman" w:eastAsia="Times New Roman"/>
          <w:sz w:val="16"/>
        </w:rPr>
        <w:t xml:space="preserve">[14] R. Jordaney, K. Sharad, S. K. Dash, Z. Wang, D. Papini, I. Nouretdinov, and L. Cavallaro, "Transcend: Detecting concept drift in malware classification models," in </w:t>
      </w:r>
      <w:r>
        <w:rPr>
          <w:rFonts w:ascii="Times New Roman" w:hAnsi="Times New Roman" w:eastAsia="Times New Roman"/>
          <w:i/>
          <w:sz w:val="16"/>
        </w:rPr>
        <w:t xml:space="preserve">Proc. 26th USENIX Security Symposium (USENIX Security 17)</w:t>
      </w:r>
      <w:r>
        <w:rPr>
          <w:rFonts w:ascii="Times New Roman" w:hAnsi="Times New Roman" w:eastAsia="Times New Roman"/>
          <w:sz w:val="16"/>
        </w:rPr>
        <w:t xml:space="preserve">, Vancouver, BC, Canada, 2017, pp. 625–642.</w:t>
      </w:r>
    </w:p>
    <w:p>
      <w:pPr>
        <w:spacing w:after="60"/>
        <w:ind w:firstLine="0" w:left="283"/>
        <w:jc w:val="both"/>
      </w:pPr>
      <w:r>
        <w:rPr>
          <w:rFonts w:ascii="Times New Roman" w:hAnsi="Times New Roman" w:eastAsia="Times New Roman"/>
          <w:sz w:val="16"/>
        </w:rPr>
        <w:t xml:space="preserve">[15] F. Barbero, F. Pendlebury, F. Pierazzi, and L. Cavallaro, "Transcending TRANSCEND: Revisiting malware classification in the presence of concept drift," in </w:t>
      </w:r>
      <w:r>
        <w:rPr>
          <w:rFonts w:ascii="Times New Roman" w:hAnsi="Times New Roman" w:eastAsia="Times New Roman"/>
          <w:i/>
          <w:sz w:val="16"/>
        </w:rPr>
        <w:t xml:space="preserve">Proc. IEEE Symposium on Security and Privacy (SP)</w:t>
      </w:r>
      <w:r>
        <w:rPr>
          <w:rFonts w:ascii="Times New Roman" w:hAnsi="Times New Roman" w:eastAsia="Times New Roman"/>
          <w:sz w:val="16"/>
        </w:rPr>
        <w:t xml:space="preserve">, San Francisco, CA, USA, 2022, pp. 805–823, doi: 10.1109/SP46214.2022.9833659.</w:t>
      </w:r>
    </w:p>
    <w:p>
      <w:pPr>
        <w:spacing w:after="60"/>
        <w:ind w:firstLine="0" w:left="283"/>
        <w:jc w:val="both"/>
      </w:pPr>
      <w:r>
        <w:rPr>
          <w:rFonts w:ascii="Times New Roman" w:hAnsi="Times New Roman" w:eastAsia="Times New Roman"/>
          <w:sz w:val="16"/>
        </w:rPr>
        <w:t xml:space="preserve">[16] A. Safi and S. Singh, "A systematic literature review on phishing website detection techniques," </w:t>
      </w:r>
      <w:r>
        <w:rPr>
          <w:rFonts w:ascii="Times New Roman" w:hAnsi="Times New Roman" w:eastAsia="Times New Roman"/>
          <w:i/>
          <w:sz w:val="16"/>
        </w:rPr>
        <w:t xml:space="preserve">Journal of King Saud University - Computer and Information Sciences</w:t>
      </w:r>
      <w:r>
        <w:rPr>
          <w:rFonts w:ascii="Times New Roman" w:hAnsi="Times New Roman" w:eastAsia="Times New Roman"/>
          <w:sz w:val="16"/>
        </w:rPr>
        <w:t xml:space="preserve">, vol. 35, no. 2, pp. 590–611, 2023, doi: 10.1016/j.jksuci.2023.01.004.</w:t>
      </w:r>
    </w:p>
    <w:p>
      <w:pPr>
        <w:spacing w:after="60"/>
        <w:ind w:firstLine="0" w:left="283"/>
        <w:jc w:val="both"/>
      </w:pPr>
      <w:r>
        <w:rPr>
          <w:rFonts w:ascii="Times New Roman" w:hAnsi="Times New Roman" w:eastAsia="Times New Roman"/>
          <w:sz w:val="16"/>
        </w:rPr>
        <w:t xml:space="preserve">[17] A. Karim, M. Shahroz, K. Mustofa, S. B. Belhouari, and S. R. K. Joga, "Phishing detection system through hybrid machine learning based on URL," </w:t>
      </w:r>
      <w:r>
        <w:rPr>
          <w:rFonts w:ascii="Times New Roman" w:hAnsi="Times New Roman" w:eastAsia="Times New Roman"/>
          <w:i/>
          <w:sz w:val="16"/>
        </w:rPr>
        <w:t xml:space="preserve">IEEE Access</w:t>
      </w:r>
      <w:r>
        <w:rPr>
          <w:rFonts w:ascii="Times New Roman" w:hAnsi="Times New Roman" w:eastAsia="Times New Roman"/>
          <w:sz w:val="16"/>
        </w:rPr>
        <w:t xml:space="preserve">, vol. 11, pp. 36805–36822, 2023, doi: 10.1109/ACCESS.2023.3252366.</w:t>
      </w:r>
    </w:p>
    <w:p>
      <w:pPr>
        <w:spacing w:after="60"/>
        <w:ind w:firstLine="0" w:left="283"/>
        <w:jc w:val="both"/>
      </w:pPr>
      <w:r>
        <w:rPr>
          <w:rFonts w:ascii="Times New Roman" w:hAnsi="Times New Roman" w:eastAsia="Times New Roman"/>
          <w:sz w:val="16"/>
        </w:rPr>
        <w:t xml:space="preserve">[18] B. B. Gupta, K. Yadav, I. Razzak, K. E. Psannis, A. Castiglione, and X. Chang, "A novel approach for phishing URLs detection using lexical based machine learning in a real-time environment," </w:t>
      </w:r>
      <w:r>
        <w:rPr>
          <w:rFonts w:ascii="Times New Roman" w:hAnsi="Times New Roman" w:eastAsia="Times New Roman"/>
          <w:i/>
          <w:sz w:val="16"/>
        </w:rPr>
        <w:t xml:space="preserve">Computer Communications</w:t>
      </w:r>
      <w:r>
        <w:rPr>
          <w:rFonts w:ascii="Times New Roman" w:hAnsi="Times New Roman" w:eastAsia="Times New Roman"/>
          <w:sz w:val="16"/>
        </w:rPr>
        <w:t xml:space="preserve">, vol. 175, pp. 47–57, 2021, doi: 10.1016/j.comcom.2021.04.023.</w:t>
      </w:r>
    </w:p>
    <w:p>
      <w:pPr>
        <w:spacing w:after="60"/>
        <w:ind w:firstLine="0" w:left="283"/>
        <w:jc w:val="both"/>
      </w:pPr>
      <w:r>
        <w:rPr>
          <w:rFonts w:ascii="Times New Roman" w:hAnsi="Times New Roman" w:eastAsia="Times New Roman"/>
          <w:sz w:val="16"/>
        </w:rPr>
        <w:t xml:space="preserve">[19] M. Sánchez-Paniagua, E. Fidalgo, E. Alegre, W. Al-Nabki, and V. González-Castro, "Phishing URL detection: A real-case scenario through login URLs," </w:t>
      </w:r>
      <w:r>
        <w:rPr>
          <w:rFonts w:ascii="Times New Roman" w:hAnsi="Times New Roman" w:eastAsia="Times New Roman"/>
          <w:i/>
          <w:sz w:val="16"/>
        </w:rPr>
        <w:t xml:space="preserve">IEEE Access</w:t>
      </w:r>
      <w:r>
        <w:rPr>
          <w:rFonts w:ascii="Times New Roman" w:hAnsi="Times New Roman" w:eastAsia="Times New Roman"/>
          <w:sz w:val="16"/>
        </w:rPr>
        <w:t xml:space="preserve">, vol. 10, pp. 42949–42960, 2022, doi: 10.1109/ACCESS.2022.3168681.</w:t>
      </w:r>
    </w:p>
    <w:p>
      <w:pPr>
        <w:spacing w:after="60"/>
        <w:ind w:firstLine="0" w:left="283"/>
        <w:jc w:val="both"/>
      </w:pPr>
      <w:r>
        <w:rPr>
          <w:rFonts w:ascii="Times New Roman" w:hAnsi="Times New Roman" w:eastAsia="Times New Roman"/>
          <w:sz w:val="16"/>
        </w:rPr>
        <w:t xml:space="preserve">[20] A. Aljofey, Q. Jiang, Q. Qu, M. Huang, and J.-P. Niyigena, "An effective phishing detection model based on character level convolutional neural network from URL," </w:t>
      </w:r>
      <w:r>
        <w:rPr>
          <w:rFonts w:ascii="Times New Roman" w:hAnsi="Times New Roman" w:eastAsia="Times New Roman"/>
          <w:i/>
          <w:sz w:val="16"/>
        </w:rPr>
        <w:t xml:space="preserve">Electronics</w:t>
      </w:r>
      <w:r>
        <w:rPr>
          <w:rFonts w:ascii="Times New Roman" w:hAnsi="Times New Roman" w:eastAsia="Times New Roman"/>
          <w:sz w:val="16"/>
        </w:rPr>
        <w:t xml:space="preserve">, vol. 9, no. 9, Art. no. 1514, 2020, doi: 10.3390/electronics9091514.</w:t>
      </w:r>
    </w:p>
    <w:p>
      <w:pPr>
        <w:spacing w:after="60"/>
        <w:ind w:firstLine="0" w:left="283"/>
        <w:jc w:val="both"/>
      </w:pPr>
      <w:r>
        <w:rPr>
          <w:rFonts w:ascii="Times New Roman" w:hAnsi="Times New Roman" w:eastAsia="Times New Roman"/>
          <w:sz w:val="16"/>
        </w:rPr>
        <w:t xml:space="preserve">[21] S. Axelsson, "The base-rate fallacy and the difficulty of intrusion detection," </w:t>
      </w:r>
      <w:r>
        <w:rPr>
          <w:rFonts w:ascii="Times New Roman" w:hAnsi="Times New Roman" w:eastAsia="Times New Roman"/>
          <w:i/>
          <w:sz w:val="16"/>
        </w:rPr>
        <w:t xml:space="preserve">ACM Transactions on Information and System Security</w:t>
      </w:r>
      <w:r>
        <w:rPr>
          <w:rFonts w:ascii="Times New Roman" w:hAnsi="Times New Roman" w:eastAsia="Times New Roman"/>
          <w:sz w:val="16"/>
        </w:rPr>
        <w:t xml:space="preserve">, vol. 3, no. 3, pp. 186–205, 2000, doi: 10.1145/357830.357849.</w:t>
      </w:r>
    </w:p>
    <w:p>
      <w:pPr>
        <w:spacing w:after="60"/>
        <w:ind w:firstLine="0" w:left="283"/>
        <w:jc w:val="both"/>
      </w:pPr>
      <w:r>
        <w:rPr>
          <w:rFonts w:ascii="Times New Roman" w:hAnsi="Times New Roman" w:eastAsia="Times New Roman"/>
          <w:sz w:val="16"/>
        </w:rPr>
        <w:t xml:space="preserve">[22] T. Saito and M. Rehmsmeier, "The precision-recall plot is more informative than the ROC plot when evaluating binary classifiers on imbalanced datasets," </w:t>
      </w:r>
      <w:r>
        <w:rPr>
          <w:rFonts w:ascii="Times New Roman" w:hAnsi="Times New Roman" w:eastAsia="Times New Roman"/>
          <w:i/>
          <w:sz w:val="16"/>
        </w:rPr>
        <w:t xml:space="preserve">PLoS ONE</w:t>
      </w:r>
      <w:r>
        <w:rPr>
          <w:rFonts w:ascii="Times New Roman" w:hAnsi="Times New Roman" w:eastAsia="Times New Roman"/>
          <w:sz w:val="16"/>
        </w:rPr>
        <w:t xml:space="preserve">, vol. 10, no. 3, Art. no. e0118432, 2015, doi: 10.1371/journal.pone.0118432.</w:t>
      </w:r>
    </w:p>
    <w:p>
      <w:pPr>
        <w:spacing w:after="60"/>
        <w:ind w:firstLine="0" w:left="283"/>
        <w:jc w:val="both"/>
      </w:pPr>
      <w:r>
        <w:rPr>
          <w:rFonts w:ascii="Times New Roman" w:hAnsi="Times New Roman" w:eastAsia="Times New Roman"/>
          <w:sz w:val="16"/>
        </w:rPr>
        <w:t xml:space="preserve">[23] F. S. Trad and A. Chehab, "Prompt engineering or fine-tuning? A case study on phishing detection with large language models," </w:t>
      </w:r>
      <w:r>
        <w:rPr>
          <w:rFonts w:ascii="Times New Roman" w:hAnsi="Times New Roman" w:eastAsia="Times New Roman"/>
          <w:i/>
          <w:sz w:val="16"/>
        </w:rPr>
        <w:t xml:space="preserve">Machine Learning and Knowledge Extraction</w:t>
      </w:r>
      <w:r>
        <w:rPr>
          <w:rFonts w:ascii="Times New Roman" w:hAnsi="Times New Roman" w:eastAsia="Times New Roman"/>
          <w:sz w:val="16"/>
        </w:rPr>
        <w:t xml:space="preserve">, vol. 6, no. 1, pp. 367–384, 2024, doi: 10.3390/make6010018.</w:t>
      </w:r>
    </w:p>
    <w:p>
      <w:pPr>
        <w:spacing w:after="60"/>
        <w:ind w:firstLine="0" w:left="283"/>
        <w:jc w:val="both"/>
      </w:pPr>
      <w:r>
        <w:rPr>
          <w:rFonts w:ascii="Times New Roman" w:hAnsi="Times New Roman" w:eastAsia="Times New Roman"/>
          <w:sz w:val="16"/>
        </w:rPr>
        <w:t xml:space="preserve">[24] T. Ahamed, S. C. Kakon, F. Al Farid, J. Uddin, and H. B. A. Karim, "An integrated evaluation protocol for adversarial robustness, generalization, and explanation stability in URL-based phishing detection," </w:t>
      </w:r>
      <w:r>
        <w:rPr>
          <w:rFonts w:ascii="Times New Roman" w:hAnsi="Times New Roman" w:eastAsia="Times New Roman"/>
          <w:i/>
          <w:sz w:val="16"/>
        </w:rPr>
        <w:t xml:space="preserve">Frontiers in Computer Science</w:t>
      </w:r>
      <w:r>
        <w:rPr>
          <w:rFonts w:ascii="Times New Roman" w:hAnsi="Times New Roman" w:eastAsia="Times New Roman"/>
          <w:sz w:val="16"/>
        </w:rPr>
        <w:t xml:space="preserve">, vol. 8, 2026, doi: 10.3389/fcomp.2026.1834407.</w:t>
      </w:r>
    </w:p>
    <w:p>
      <w:pPr>
        <w:pStyle w:val="Heading1"/>
        <w:ind w:firstLine="0"/>
        <w:jc w:val="center"/>
      </w:pPr>
      <w:r>
        <w:rPr>
          <w:rFonts w:ascii="Times New Roman" w:hAnsi="Times New Roman" w:eastAsia="Times New Roman"/>
          <w:sz w:val="21"/>
        </w:rPr>
        <w:t xml:space="preserve">Lampiran A. Ringkasan Protokol untuk Replikasi</w:t>
      </w:r>
    </w:p>
    <w:p>
      <w:pPr>
        <w:spacing w:after="60"/>
        <w:ind w:firstLine="283"/>
        <w:jc w:val="both"/>
      </w:pPr>
      <w:r>
        <w:rPr>
          <w:rFonts w:ascii="Times New Roman" w:hAnsi="Times New Roman" w:eastAsia="Times New Roman"/>
          <w:sz w:val="19"/>
        </w:rPr>
        <w:t xml:space="preserve">Lampiran ini merangkum protokol yang diperlukan untuk merekonstruksi eksperimen. Setiap butir diambil dari artefak yang tersimpan, bukan dari rekonstruksi naratif. Butir yang tidak tercatat pada artefak dinyatakan sebagai tidak tercatat, bukan diisi dengan perkiraan.</w:t>
      </w:r>
    </w:p>
    <w:p>
      <w:pPr>
        <w:keepNext/>
        <w:spacing w:after="60"/>
        <w:ind w:firstLine="0"/>
        <w:jc w:val="center"/>
      </w:pPr>
      <w:r>
        <w:rPr>
          <w:rFonts w:ascii="Times New Roman" w:hAnsi="Times New Roman" w:eastAsia="Times New Roman"/>
          <w:b/>
          <w:sz w:val="17"/>
        </w:rPr>
        <w:t xml:space="preserve">Tabel A1. Ringkasan protokol eksperimen dan provenance artefak.</w:t>
      </w:r>
    </w:p>
    <w:tbl>
      <w:tblPr>
        <w:tblStyle w:val="TableGrid"/>
        <w:tblW w:type="auto" w:w="0"/>
        <w:tblLook w:firstColumn="1" w:firstRow="1" w:lastColumn="0" w:lastRow="0" w:noHBand="0" w:noVBand="1" w:val="04A0"/>
      </w:tblPr>
      <w:tblGrid>
        <w:gridCol w:w="4677"/>
        <w:gridCol w:w="4677"/>
      </w:tblGrid>
      <w:tr>
        <w:tc>
          <w:tcPr>
            <w:tcW w:type="dxa" w:w="4677"/>
          </w:tcPr>
          <w:p>
            <w:pPr>
              <w:jc w:val="left"/>
            </w:pPr>
            <w:r>
              <w:rPr>
                <w:rFonts w:ascii="Times New Roman" w:hAnsi="Times New Roman"/>
                <w:b/>
                <w:sz w:val="14"/>
              </w:rPr>
              <w:t>Komponen</w:t>
            </w:r>
          </w:p>
        </w:tc>
        <w:tc>
          <w:tcPr>
            <w:tcW w:type="dxa" w:w="4677"/>
          </w:tcPr>
          <w:p>
            <w:pPr>
              <w:jc w:val="left"/>
            </w:pPr>
            <w:r>
              <w:rPr>
                <w:rFonts w:ascii="Times New Roman" w:hAnsi="Times New Roman"/>
                <w:b/>
                <w:sz w:val="14"/>
              </w:rPr>
              <w:t>Ringkasan terverifikasi</w:t>
            </w:r>
          </w:p>
        </w:tc>
      </w:tr>
      <w:tr>
        <w:tc>
          <w:tcPr>
            <w:tcW w:type="dxa" w:w="4677"/>
          </w:tcPr>
          <w:p>
            <w:pPr>
              <w:jc w:val="left"/>
            </w:pPr>
            <w:r>
              <w:rPr>
                <w:rFonts w:ascii="Times New Roman" w:hAnsi="Times New Roman"/>
                <w:sz w:val="14"/>
              </w:rPr>
              <w:t>Snapshot PhiUSIIL</w:t>
            </w:r>
          </w:p>
        </w:tc>
        <w:tc>
          <w:tcPr>
            <w:tcW w:type="dxa" w:w="4677"/>
          </w:tcPr>
          <w:p>
            <w:pPr>
              <w:jc w:val="left"/>
            </w:pPr>
            <w:r>
              <w:rPr>
                <w:rFonts w:ascii="Times New Roman" w:hAnsi="Times New Roman"/>
                <w:sz w:val="14"/>
              </w:rPr>
              <w:t>235.370 baris setelah pembersihan. Split memakai berkas beku split_random.csv dan split_sitedisjoint.csv (kolom seed, url_id, fold) untuk lima seed; lipatan val ada di berkas tetapi tidak dipakai pada protokol. Pada seed 13: acak 141.222 latih / 47.074 val / 47.074 uji; site-disjoint 143.800 / 48.280 / 43.290.</w:t>
            </w:r>
          </w:p>
        </w:tc>
      </w:tr>
      <w:tr>
        <w:tc>
          <w:tcPr>
            <w:tcW w:type="dxa" w:w="4677"/>
          </w:tcPr>
          <w:p>
            <w:pPr>
              <w:jc w:val="left"/>
            </w:pPr>
            <w:r>
              <w:rPr>
                <w:rFonts w:ascii="Times New Roman" w:hAnsi="Times New Roman"/>
                <w:sz w:val="14"/>
              </w:rPr>
              <w:t>Snapshot PhreshPhish</w:t>
            </w:r>
          </w:p>
        </w:tc>
        <w:tc>
          <w:tcPr>
            <w:tcW w:type="dxa" w:w="4677"/>
          </w:tcPr>
          <w:p>
            <w:pPr>
              <w:jc w:val="left"/>
            </w:pPr>
            <w:r>
              <w:rPr>
                <w:rFonts w:ascii="Times New Roman" w:hAnsi="Times New Roman"/>
                <w:sz w:val="14"/>
              </w:rPr>
              <w:t>77 shard parquet (train-000... dan test-000...), 666.315 baris, 36,58 GB; SHA-256 per berkas tercatat pada input_manifest.json. Keanggotaan split resmi train/test dipakai sebagai kerangka, bukan dibentuk ulang, tetapi blok temporal tetap melewati penyaringan: 681 baris latih pada atau setelah cutoff dikeluarkan sebelum blok fit dibentuk. Penanda tanggal diperlakukan sebagai tanggal pada berkas sumber.</w:t>
            </w:r>
          </w:p>
        </w:tc>
      </w:tr>
      <w:tr>
        <w:tc>
          <w:tcPr>
            <w:tcW w:type="dxa" w:w="4677"/>
          </w:tcPr>
          <w:p>
            <w:pPr>
              <w:jc w:val="left"/>
            </w:pPr>
            <w:r>
              <w:rPr>
                <w:rFonts w:ascii="Times New Roman" w:hAnsi="Times New Roman"/>
                <w:sz w:val="14"/>
              </w:rPr>
              <w:t>Ledger eksklusi</w:t>
            </w:r>
          </w:p>
        </w:tc>
        <w:tc>
          <w:tcPr>
            <w:tcW w:type="dxa" w:w="4677"/>
          </w:tcPr>
          <w:p>
            <w:pPr>
              <w:jc w:val="left"/>
            </w:pPr>
            <w:r>
              <w:rPr>
                <w:rFonts w:ascii="Times New Roman" w:hAnsi="Times New Roman"/>
                <w:sz w:val="14"/>
              </w:rPr>
              <w:t>921 baris dikeluarkan dengan alasan tercatat: 681 setelah cutoff, 214 duplikat URL latih, 22 duplikat URL uji, 3 URL uji terlihat di latih, dan 1 URL tak dapat diparse. Latih 498.255 menjadi 497.359; uji 168.060 menjadi 168.035.</w:t>
            </w:r>
          </w:p>
        </w:tc>
      </w:tr>
      <w:tr>
        <w:tc>
          <w:tcPr>
            <w:tcW w:type="dxa" w:w="4677"/>
          </w:tcPr>
          <w:p>
            <w:pPr>
              <w:jc w:val="left"/>
            </w:pPr>
            <w:r>
              <w:rPr>
                <w:rFonts w:ascii="Times New Roman" w:hAnsi="Times New Roman"/>
                <w:sz w:val="14"/>
              </w:rPr>
              <w:t>Label</w:t>
            </w:r>
          </w:p>
        </w:tc>
        <w:tc>
          <w:tcPr>
            <w:tcW w:type="dxa" w:w="4677"/>
          </w:tcPr>
          <w:p>
            <w:pPr>
              <w:jc w:val="left"/>
            </w:pPr>
            <w:r>
              <w:rPr>
                <w:rFonts w:ascii="Times New Roman" w:hAnsi="Times New Roman"/>
                <w:sz w:val="14"/>
              </w:rPr>
              <w:t>Untuk PhreshPhish, nilai sumber berupa string benign/phish dan dipetakan ke 0/1; pipeline temporal dan ambang menolak nilai di luar himpunan itu. PhiUSIIL memakai pengodean numerik sumber 1 = legitim dan 0 = phishing, lalu dipetakan menjadi phishing = 1 pada analisis. Eksperimen 9 hanya membandingkan label PhreshPhish dengan string phish dan mencetak domain label, tanpa penolakan eksplisit; keluarannya hanya benign dan phish.</w:t>
            </w:r>
          </w:p>
        </w:tc>
      </w:tr>
      <w:tr>
        <w:tc>
          <w:tcPr>
            <w:tcW w:type="dxa" w:w="4677"/>
          </w:tcPr>
          <w:p>
            <w:pPr>
              <w:jc w:val="left"/>
            </w:pPr>
            <w:r>
              <w:rPr>
                <w:rFonts w:ascii="Times New Roman" w:hAnsi="Times New Roman"/>
                <w:sz w:val="14"/>
              </w:rPr>
              <w:t>Konfigurasi fitur</w:t>
            </w:r>
          </w:p>
        </w:tc>
        <w:tc>
          <w:tcPr>
            <w:tcW w:type="dxa" w:w="4677"/>
          </w:tcPr>
          <w:p>
            <w:pPr>
              <w:jc w:val="left"/>
            </w:pPr>
            <w:r>
              <w:rPr>
                <w:rFonts w:ascii="Times New Roman" w:hAnsi="Times New Roman"/>
                <w:sz w:val="14"/>
              </w:rPr>
              <w:t>A0 47 fitur, A1 41 fitur, A2 18 fitur. Daftar ketiganya didefinisikan pada src/data.py; A2 mengikuti urutan feature_schema.json dengan sumber deterministic URL-only dan tanpa target encoding.</w:t>
            </w:r>
          </w:p>
        </w:tc>
      </w:tr>
      <w:tr>
        <w:tc>
          <w:tcPr>
            <w:tcW w:type="dxa" w:w="4677"/>
          </w:tcPr>
          <w:p>
            <w:pPr>
              <w:jc w:val="left"/>
            </w:pPr>
            <w:r>
              <w:rPr>
                <w:rFonts w:ascii="Times New Roman" w:hAnsi="Times New Roman"/>
                <w:sz w:val="14"/>
              </w:rPr>
              <w:t>Ekstraktor A2</w:t>
            </w:r>
          </w:p>
        </w:tc>
        <w:tc>
          <w:tcPr>
            <w:tcW w:type="dxa" w:w="4677"/>
          </w:tcPr>
          <w:p>
            <w:pPr>
              <w:jc w:val="left"/>
            </w:pPr>
            <w:r>
              <w:rPr>
                <w:rFonts w:ascii="Times New Roman" w:hAnsi="Times New Roman"/>
                <w:sz w:val="14"/>
              </w:rPr>
              <w:t>Dua salinan dipakai pada eksperimen berbeda. Eksperimen 7 memakai src/features.py dengan SHA-256 c98b119c72c77df225bd21b7f803c367b71a934630622b3349ddecf349dc5864; eksperimen 5 dan 9 memakai salinan dengan SHA-256 81822b4fac8b50cdf93371651e3c94680628ef189d64c32429ec15cc51cd48e6. Keduanya dihitung deterministik per URL tanpa fitur halaman. Kesetaraan nilai fitur antar kedua salinan tidak diperiksa pada artikel ini; yang dinyatakan adalah kontrak 18 fitur dan urutan yang sama.</w:t>
            </w:r>
          </w:p>
        </w:tc>
      </w:tr>
      <w:tr>
        <w:tc>
          <w:tcPr>
            <w:tcW w:type="dxa" w:w="4677"/>
          </w:tcPr>
          <w:p>
            <w:pPr>
              <w:jc w:val="left"/>
            </w:pPr>
            <w:r>
              <w:rPr>
                <w:rFonts w:ascii="Times New Roman" w:hAnsi="Times New Roman"/>
                <w:sz w:val="14"/>
              </w:rPr>
              <w:t>Model</w:t>
            </w:r>
          </w:p>
        </w:tc>
        <w:tc>
          <w:tcPr>
            <w:tcW w:type="dxa" w:w="4677"/>
          </w:tcPr>
          <w:p>
            <w:pPr>
              <w:jc w:val="left"/>
            </w:pPr>
            <w:r>
              <w:rPr>
                <w:rFonts w:ascii="Times New Roman" w:hAnsi="Times New Roman"/>
                <w:sz w:val="14"/>
              </w:rPr>
              <w:t>LightGBM 300 estimator, learning rate 0,05, 63 daun. XGBoost 300 estimator, learning rate 0,05, max_depth 8, eval_metric logloss, tree_method hist. Tidak ada penyetelan hiperparameter pada korpus target.</w:t>
            </w:r>
          </w:p>
        </w:tc>
      </w:tr>
      <w:tr>
        <w:tc>
          <w:tcPr>
            <w:tcW w:type="dxa" w:w="4677"/>
          </w:tcPr>
          <w:p>
            <w:pPr>
              <w:jc w:val="left"/>
            </w:pPr>
            <w:r>
              <w:rPr>
                <w:rFonts w:ascii="Times New Roman" w:hAnsi="Times New Roman"/>
                <w:sz w:val="14"/>
              </w:rPr>
              <w:t>Lingkungan</w:t>
            </w:r>
          </w:p>
        </w:tc>
        <w:tc>
          <w:tcPr>
            <w:tcW w:type="dxa" w:w="4677"/>
          </w:tcPr>
          <w:p>
            <w:pPr>
              <w:jc w:val="left"/>
            </w:pPr>
            <w:r>
              <w:rPr>
                <w:rFonts w:ascii="Times New Roman" w:hAnsi="Times New Roman"/>
                <w:sz w:val="14"/>
              </w:rPr>
              <w:t>lightgbm 4.7.0, xgboost 3.4.1, scikit-learn 1.9.1, tldextract 5.4.0, pandas 3.1.0, NumPy 2.5.3; snapshot Public Suffix List ber-SHA-256 b69315c085d53972724b8f2df111ffc329b0c84fe0a47d62c8c91655cc774a38.</w:t>
            </w:r>
          </w:p>
        </w:tc>
      </w:tr>
      <w:tr>
        <w:tc>
          <w:tcPr>
            <w:tcW w:type="dxa" w:w="4677"/>
          </w:tcPr>
          <w:p>
            <w:pPr>
              <w:jc w:val="left"/>
            </w:pPr>
            <w:r>
              <w:rPr>
                <w:rFonts w:ascii="Times New Roman" w:hAnsi="Times New Roman"/>
                <w:sz w:val="14"/>
              </w:rPr>
              <w:t>Bootstrap</w:t>
            </w:r>
          </w:p>
        </w:tc>
        <w:tc>
          <w:tcPr>
            <w:tcW w:type="dxa" w:w="4677"/>
          </w:tcPr>
          <w:p>
            <w:pPr>
              <w:jc w:val="left"/>
            </w:pPr>
            <w:r>
              <w:rPr>
                <w:rFonts w:ascii="Times New Roman" w:hAnsi="Times New Roman"/>
                <w:sz w:val="14"/>
              </w:rPr>
              <w:t>Interval persentil; unit registrable domain diresample dengan pengembalian, 1.000 replikasi, seed RNG 42. Varian berpasangan menjaga pasangan model tetap dan menghitung selisih pada replikasi yang sama.</w:t>
            </w:r>
          </w:p>
        </w:tc>
      </w:tr>
      <w:tr>
        <w:tc>
          <w:tcPr>
            <w:tcW w:type="dxa" w:w="4677"/>
          </w:tcPr>
          <w:p>
            <w:pPr>
              <w:jc w:val="left"/>
            </w:pPr>
            <w:r>
              <w:rPr>
                <w:rFonts w:ascii="Times New Roman" w:hAnsi="Times New Roman"/>
                <w:sz w:val="14"/>
              </w:rPr>
              <w:t>Pemilihan ambang</w:t>
            </w:r>
          </w:p>
        </w:tc>
        <w:tc>
          <w:tcPr>
            <w:tcW w:type="dxa" w:w="4677"/>
          </w:tcPr>
          <w:p>
            <w:pPr>
              <w:jc w:val="left"/>
            </w:pPr>
            <w:r>
              <w:rPr>
                <w:rFonts w:ascii="Times New Roman" w:hAnsi="Times New Roman"/>
                <w:sz w:val="14"/>
              </w:rPr>
              <w:t>Aturan prediksi adalah skor &gt;= ambang. Kandidat ambang adalah seluruh nilai probabilitas unik pada blok validasi, dan nilai kembar ditangani sebagai satu blok nilai.</w:t>
            </w:r>
          </w:p>
        </w:tc>
      </w:tr>
      <w:tr>
        <w:tc>
          <w:tcPr>
            <w:tcW w:type="dxa" w:w="4677"/>
          </w:tcPr>
          <w:p>
            <w:pPr>
              <w:jc w:val="left"/>
            </w:pPr>
            <w:r>
              <w:rPr>
                <w:rFonts w:ascii="Times New Roman" w:hAnsi="Times New Roman"/>
                <w:sz w:val="14"/>
              </w:rPr>
              <w:t>Taksonomi</w:t>
            </w:r>
          </w:p>
        </w:tc>
        <w:tc>
          <w:tcPr>
            <w:tcW w:type="dxa" w:w="4677"/>
          </w:tcPr>
          <w:p>
            <w:pPr>
              <w:jc w:val="left"/>
            </w:pPr>
            <w:r>
              <w:rPr>
                <w:rFonts w:ascii="Times New Roman" w:hAnsi="Times New Roman"/>
                <w:sz w:val="14"/>
              </w:rPr>
              <w:t>14 domain platform eksplisit (github.io, pages.dev, vercel.app, netlify.app, weebly.com, wixsite.com, blogspot.com, wordpress.com, tumblr.com, typedream.app, gitlab.io, firebaseapp.com, web.app, workers.dev) dan 10 domain shortener; kategori biner: host_is_ip, host_punycode, query_present, scheme_https, domain_seen, shortener, platform.</w:t>
            </w:r>
          </w:p>
        </w:tc>
      </w:tr>
      <w:tr>
        <w:tc>
          <w:tcPr>
            <w:tcW w:type="dxa" w:w="4677"/>
          </w:tcPr>
          <w:p>
            <w:pPr>
              <w:jc w:val="left"/>
            </w:pPr>
            <w:r>
              <w:rPr>
                <w:rFonts w:ascii="Times New Roman" w:hAnsi="Times New Roman"/>
                <w:sz w:val="14"/>
              </w:rPr>
              <w:t>Waktu komputasi</w:t>
            </w:r>
          </w:p>
        </w:tc>
        <w:tc>
          <w:tcPr>
            <w:tcW w:type="dxa" w:w="4677"/>
          </w:tcPr>
          <w:p>
            <w:pPr>
              <w:jc w:val="left"/>
            </w:pPr>
            <w:r>
              <w:rPr>
                <w:rFonts w:ascii="Times New Roman" w:hAnsi="Times New Roman"/>
                <w:sz w:val="14"/>
              </w:rPr>
              <w:t>Metadata run mencatat 16 CPU logis, konfigurasi n_jobs = -1, dan identifikasi CPU generik; jumlah thread efektif, RAM, dan kondisi beban sistem tidak dicatat. Angka waktu karena itu adalah log eksekusi, bukan pembandingan biaya komputasi.</w:t>
            </w:r>
          </w:p>
        </w:tc>
      </w:tr>
    </w:tbl>
    <w:sectPr w:rsidR="00C85E82" w:rsidRPr="006058D6" w:rsidSect="00E74AFC">
      <w:headerReference w:type="default" r:id="rId9"/>
      <w:footerReference w:type="default" r:id="rId10"/>
      <w:pgSz w:w="11906" w:h="16838"/>
      <w:pgMar w:top="1701" w:right="851" w:bottom="851" w:left="1701" w:header="425"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3F5118" w14:textId="77777777" w:rsidR="00114087" w:rsidRDefault="00114087" w:rsidP="00F063DF">
      <w:pPr>
        <w:spacing w:after="0" w:line="240" w:lineRule="auto"/>
      </w:pPr>
      <w:r>
        <w:separator/>
      </w:r>
    </w:p>
  </w:endnote>
  <w:endnote w:type="continuationSeparator" w:id="0">
    <w:p w14:paraId="0EBED4C9" w14:textId="77777777" w:rsidR="00114087" w:rsidRDefault="00114087" w:rsidP="00F0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Benguiat Bk BT">
    <w:altName w:val="Cambria"/>
    <w:panose1 w:val="02030904050306020704"/>
    <w:charset w:val="00"/>
    <w:family w:val="roman"/>
    <w:pitch w:val="variable"/>
    <w:sig w:usb0="00000087" w:usb1="00000000" w:usb2="00000000" w:usb3="00000000" w:csb0="0000001B"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348259" w14:textId="5B68CD63" w:rsidR="001472BA" w:rsidRPr="00F9053F" w:rsidRDefault="00925953" w:rsidP="001472BA">
    <w:pPr>
      <w:tabs>
        <w:tab w:val="left" w:pos="6060"/>
      </w:tabs>
      <w:spacing w:after="0" w:line="240" w:lineRule="auto"/>
      <w:jc w:val="right"/>
      <w:rPr>
        <w:rFonts w:ascii="Times New Roman" w:eastAsia="Bookman Old Style" w:hAnsi="Times New Roman" w:cs="Times New Roman"/>
        <w:sz w:val="18"/>
        <w:szCs w:val="18"/>
      </w:rPr>
    </w:pPr>
    <w:r w:rsidRPr="00F9053F">
      <w:rPr>
        <w:rFonts w:ascii="Times New Roman" w:hAnsi="Times New Roman" w:cs="Times New Roman"/>
        <w:sz w:val="18"/>
        <w:szCs w:val="18"/>
        <w:shd w:val="clear" w:color="auto" w:fill="FFFFFF"/>
      </w:rPr>
      <w:t>Copyright</w:t>
    </w:r>
    <w:r w:rsidR="001472BA" w:rsidRPr="00F9053F">
      <w:rPr>
        <w:rFonts w:ascii="Times New Roman" w:hAnsi="Times New Roman" w:cs="Times New Roman"/>
        <w:noProof/>
        <w:sz w:val="18"/>
        <w:szCs w:val="18"/>
      </w:rPr>
      <w:drawing>
        <wp:anchor distT="0" distB="0" distL="114300" distR="114300" simplePos="0" relativeHeight="251660288" behindDoc="1" locked="0" layoutInCell="1" allowOverlap="1" wp14:anchorId="36F15970" wp14:editId="6400F820">
          <wp:simplePos x="0" y="0"/>
          <wp:positionH relativeFrom="margin">
            <wp:posOffset>-635</wp:posOffset>
          </wp:positionH>
          <wp:positionV relativeFrom="paragraph">
            <wp:posOffset>40640</wp:posOffset>
          </wp:positionV>
          <wp:extent cx="631825" cy="223701"/>
          <wp:effectExtent l="0" t="0" r="0" b="508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1825" cy="2237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053F">
      <w:rPr>
        <w:rFonts w:ascii="Times New Roman" w:hAnsi="Times New Roman" w:cs="Times New Roman"/>
        <w:sz w:val="18"/>
        <w:szCs w:val="18"/>
        <w:shd w:val="clear" w:color="auto" w:fill="FFFFFF"/>
        <w:lang w:val="en-GB"/>
      </w:rPr>
      <w:t xml:space="preserve"> </w:t>
    </w:r>
    <w:r w:rsidR="001472BA" w:rsidRPr="00F9053F">
      <w:rPr>
        <w:rFonts w:ascii="Times New Roman" w:eastAsia="Bookman Old Style" w:hAnsi="Times New Roman" w:cs="Times New Roman"/>
        <w:sz w:val="18"/>
        <w:szCs w:val="18"/>
      </w:rPr>
      <w:t>© 202</w:t>
    </w:r>
    <w:r w:rsidR="001472BA" w:rsidRPr="00F9053F">
      <w:rPr>
        <w:rFonts w:ascii="Times New Roman" w:eastAsia="Bookman Old Style" w:hAnsi="Times New Roman" w:cs="Times New Roman"/>
        <w:sz w:val="18"/>
        <w:szCs w:val="18"/>
        <w:lang w:val="en-GB"/>
      </w:rPr>
      <w:t>6</w:t>
    </w:r>
    <w:r w:rsidR="001472BA" w:rsidRPr="00F9053F">
      <w:rPr>
        <w:rFonts w:ascii="Times New Roman" w:eastAsia="Bookman Old Style" w:hAnsi="Times New Roman" w:cs="Times New Roman"/>
        <w:sz w:val="18"/>
        <w:szCs w:val="18"/>
      </w:rPr>
      <w:t xml:space="preserve"> The Author(s). Published by </w:t>
    </w:r>
    <w:r w:rsidR="001472BA" w:rsidRPr="00F9053F">
      <w:rPr>
        <w:rFonts w:ascii="Times New Roman" w:eastAsia="Bookman Old Style" w:hAnsi="Times New Roman" w:cs="Times New Roman"/>
        <w:i/>
        <w:iCs/>
        <w:sz w:val="18"/>
        <w:szCs w:val="18"/>
        <w:lang w:val="en-GB"/>
      </w:rPr>
      <w:t>Forum Kerjasama Pendidikan Tinggi</w:t>
    </w:r>
    <w:r w:rsidR="001472BA" w:rsidRPr="00F9053F">
      <w:rPr>
        <w:rFonts w:ascii="Times New Roman" w:eastAsia="Bookman Old Style" w:hAnsi="Times New Roman" w:cs="Times New Roman"/>
        <w:sz w:val="18"/>
        <w:szCs w:val="18"/>
      </w:rPr>
      <w:t xml:space="preserve">. </w:t>
    </w:r>
    <w:r w:rsidR="001472BA" w:rsidRPr="00F9053F">
      <w:rPr>
        <w:rFonts w:ascii="Times New Roman" w:hAnsi="Times New Roman" w:cs="Times New Roman"/>
        <w:sz w:val="18"/>
        <w:szCs w:val="18"/>
      </w:rPr>
      <w:t xml:space="preserve">Page </w:t>
    </w:r>
    <w:r w:rsidR="001472BA" w:rsidRPr="00F9053F">
      <w:rPr>
        <w:rFonts w:ascii="Times New Roman" w:hAnsi="Times New Roman" w:cs="Times New Roman"/>
        <w:sz w:val="18"/>
        <w:szCs w:val="18"/>
      </w:rPr>
      <w:fldChar w:fldCharType="begin"/>
    </w:r>
    <w:r w:rsidR="001472BA" w:rsidRPr="00F9053F">
      <w:rPr>
        <w:rFonts w:ascii="Times New Roman" w:hAnsi="Times New Roman" w:cs="Times New Roman"/>
        <w:sz w:val="18"/>
        <w:szCs w:val="18"/>
      </w:rPr>
      <w:instrText xml:space="preserve"> PAGE   \* MERGEFORMAT </w:instrText>
    </w:r>
    <w:r w:rsidR="001472BA" w:rsidRPr="00F9053F">
      <w:rPr>
        <w:rFonts w:ascii="Times New Roman" w:hAnsi="Times New Roman" w:cs="Times New Roman"/>
        <w:sz w:val="18"/>
        <w:szCs w:val="18"/>
      </w:rPr>
      <w:fldChar w:fldCharType="separate"/>
    </w:r>
    <w:r w:rsidR="001472BA" w:rsidRPr="00F9053F">
      <w:rPr>
        <w:rFonts w:ascii="Times New Roman" w:hAnsi="Times New Roman" w:cs="Times New Roman"/>
        <w:sz w:val="18"/>
        <w:szCs w:val="18"/>
      </w:rPr>
      <w:t>1</w:t>
    </w:r>
    <w:r w:rsidR="001472BA" w:rsidRPr="00F9053F">
      <w:rPr>
        <w:rFonts w:ascii="Times New Roman" w:hAnsi="Times New Roman" w:cs="Times New Roman"/>
        <w:noProof/>
        <w:sz w:val="18"/>
        <w:szCs w:val="18"/>
      </w:rPr>
      <w:fldChar w:fldCharType="end"/>
    </w:r>
  </w:p>
  <w:p w14:paraId="7B311D0D" w14:textId="7E3B0ADB" w:rsidR="00CB0297" w:rsidRPr="00F9053F" w:rsidRDefault="001472BA" w:rsidP="001472BA">
    <w:pPr>
      <w:tabs>
        <w:tab w:val="left" w:pos="6060"/>
      </w:tabs>
      <w:spacing w:after="0" w:line="240" w:lineRule="auto"/>
      <w:jc w:val="right"/>
      <w:rPr>
        <w:rFonts w:ascii="Times New Roman" w:eastAsia="Bookman Old Style" w:hAnsi="Times New Roman" w:cs="Times New Roman"/>
        <w:sz w:val="18"/>
        <w:szCs w:val="18"/>
        <w:lang w:eastAsia="en-ID"/>
      </w:rPr>
    </w:pPr>
    <w:r w:rsidRPr="00F9053F">
      <w:rPr>
        <w:rFonts w:ascii="Times New Roman" w:hAnsi="Times New Roman" w:cs="Times New Roman"/>
        <w:sz w:val="18"/>
        <w:szCs w:val="18"/>
        <w:shd w:val="clear" w:color="auto" w:fill="FFFFFF"/>
      </w:rPr>
      <w:t>This work is licensed under a Creative Commons Attribution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922DC0" w14:textId="77777777" w:rsidR="00114087" w:rsidRDefault="00114087" w:rsidP="00F063DF">
      <w:pPr>
        <w:spacing w:after="0" w:line="240" w:lineRule="auto"/>
      </w:pPr>
      <w:r>
        <w:separator/>
      </w:r>
    </w:p>
  </w:footnote>
  <w:footnote w:type="continuationSeparator" w:id="0">
    <w:p w14:paraId="7EC3348A" w14:textId="77777777" w:rsidR="00114087" w:rsidRDefault="00114087" w:rsidP="00F0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9A9216" w14:textId="46E3451C" w:rsidR="004D3299" w:rsidRPr="0029271C" w:rsidRDefault="00363BF4" w:rsidP="00CE5857">
    <w:pPr>
      <w:pStyle w:val="Footer"/>
      <w:rPr>
        <w:rFonts w:ascii="Benguiat Bk BT" w:hAnsi="Benguiat Bk BT"/>
        <w:b/>
        <w:bCs/>
        <w:sz w:val="18"/>
        <w:szCs w:val="18"/>
      </w:rPr>
    </w:pPr>
    <w:r w:rsidRPr="0029271C">
      <w:rPr>
        <w:rFonts w:ascii="Benguiat Bk BT" w:hAnsi="Benguiat Bk BT"/>
        <w:b/>
        <w:bCs/>
        <w:noProof/>
        <w:sz w:val="18"/>
        <w:szCs w:val="18"/>
        <w:lang w:val="en-US"/>
      </w:rPr>
      <w:drawing>
        <wp:anchor distT="0" distB="0" distL="114300" distR="114300" simplePos="0" relativeHeight="251658240" behindDoc="1" locked="0" layoutInCell="1" allowOverlap="1" wp14:anchorId="3477BEEC" wp14:editId="1145154A">
          <wp:simplePos x="0" y="0"/>
          <wp:positionH relativeFrom="margin">
            <wp:posOffset>5069411</wp:posOffset>
          </wp:positionH>
          <wp:positionV relativeFrom="paragraph">
            <wp:posOffset>-156845</wp:posOffset>
          </wp:positionV>
          <wp:extent cx="887095" cy="848995"/>
          <wp:effectExtent l="0" t="0" r="8255" b="8255"/>
          <wp:wrapNone/>
          <wp:docPr id="18" name="Picture 18">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87095" cy="848995"/>
                  </a:xfrm>
                  <a:prstGeom prst="rect">
                    <a:avLst/>
                  </a:prstGeom>
                  <a:noFill/>
                  <a:ln>
                    <a:noFill/>
                  </a:ln>
                </pic:spPr>
              </pic:pic>
            </a:graphicData>
          </a:graphic>
          <wp14:sizeRelH relativeFrom="page">
            <wp14:pctWidth>0</wp14:pctWidth>
          </wp14:sizeRelH>
          <wp14:sizeRelV relativeFrom="page">
            <wp14:pctHeight>0</wp14:pctHeight>
          </wp14:sizeRelV>
        </wp:anchor>
      </w:drawing>
    </w:r>
    <w:r w:rsidR="00B06F2B" w:rsidRPr="0029271C">
      <w:rPr>
        <w:rFonts w:ascii="Benguiat Bk BT" w:hAnsi="Benguiat Bk BT"/>
        <w:b/>
        <w:bCs/>
        <w:sz w:val="18"/>
        <w:szCs w:val="18"/>
        <w:lang w:val="en-US"/>
      </w:rPr>
      <w:t>Building of Informatics, Technology and Science (BITS)</w:t>
    </w:r>
    <w:r w:rsidR="001B7DD2" w:rsidRPr="0029271C">
      <w:rPr>
        <w:rFonts w:ascii="Benguiat Bk BT" w:hAnsi="Benguiat Bk BT"/>
        <w:b/>
        <w:bCs/>
        <w:sz w:val="18"/>
        <w:szCs w:val="18"/>
      </w:rPr>
      <w:t xml:space="preserve"> </w:t>
    </w:r>
  </w:p>
  <w:p w14:paraId="5BD607BF" w14:textId="67C1E53F" w:rsidR="000B0F2F" w:rsidRPr="00182E16" w:rsidRDefault="000B0F2F" w:rsidP="00CE5857">
    <w:pPr>
      <w:pStyle w:val="Footer"/>
      <w:rPr>
        <w:rFonts w:cstheme="minorHAnsi"/>
        <w:sz w:val="18"/>
        <w:szCs w:val="18"/>
      </w:rPr>
    </w:pPr>
    <w:r w:rsidRPr="00182E16">
      <w:rPr>
        <w:rFonts w:cstheme="minorHAnsi"/>
        <w:sz w:val="18"/>
        <w:szCs w:val="18"/>
      </w:rPr>
      <w:t xml:space="preserve">ISSN </w:t>
    </w:r>
    <w:r w:rsidRPr="00182E16">
      <w:rPr>
        <w:rFonts w:cstheme="minorHAnsi"/>
        <w:sz w:val="18"/>
        <w:szCs w:val="18"/>
        <w:lang w:val="en-US"/>
      </w:rPr>
      <w:t>2684-8910</w:t>
    </w:r>
    <w:r w:rsidRPr="00182E16">
      <w:rPr>
        <w:rFonts w:cstheme="minorHAnsi"/>
        <w:sz w:val="18"/>
        <w:szCs w:val="18"/>
      </w:rPr>
      <w:t xml:space="preserve"> (media cetak)</w:t>
    </w:r>
    <w:r w:rsidR="00182E16" w:rsidRPr="00182E16">
      <w:rPr>
        <w:rFonts w:cstheme="minorHAnsi"/>
        <w:sz w:val="18"/>
        <w:szCs w:val="18"/>
        <w:lang w:val="en-GB"/>
      </w:rPr>
      <w:t xml:space="preserve">, </w:t>
    </w:r>
    <w:r w:rsidRPr="00182E16">
      <w:rPr>
        <w:rFonts w:cstheme="minorHAnsi"/>
        <w:sz w:val="18"/>
        <w:szCs w:val="18"/>
      </w:rPr>
      <w:t xml:space="preserve">ISSN </w:t>
    </w:r>
    <w:r w:rsidRPr="00182E16">
      <w:rPr>
        <w:rFonts w:cstheme="minorHAnsi"/>
        <w:sz w:val="18"/>
        <w:szCs w:val="18"/>
        <w:lang w:val="en-US"/>
      </w:rPr>
      <w:t>2685-3310</w:t>
    </w:r>
    <w:r w:rsidRPr="00182E16">
      <w:rPr>
        <w:rFonts w:cstheme="minorHAnsi"/>
        <w:sz w:val="18"/>
        <w:szCs w:val="18"/>
      </w:rPr>
      <w:t xml:space="preserve"> (media online)</w:t>
    </w:r>
  </w:p>
  <w:p w14:paraId="42B9B588" w14:textId="74AAE9BE" w:rsidR="001B7DD2" w:rsidRPr="00182E16" w:rsidRDefault="001B7DD2" w:rsidP="00CE5857">
    <w:pPr>
      <w:pStyle w:val="Footer"/>
      <w:rPr>
        <w:sz w:val="18"/>
        <w:szCs w:val="18"/>
      </w:rPr>
    </w:pPr>
    <w:r w:rsidRPr="00182E16">
      <w:rPr>
        <w:sz w:val="18"/>
        <w:szCs w:val="18"/>
      </w:rPr>
      <w:t>Vol</w:t>
    </w:r>
    <w:r w:rsidR="00DC389D" w:rsidRPr="00182E16">
      <w:rPr>
        <w:sz w:val="18"/>
        <w:szCs w:val="18"/>
        <w:lang w:val="en-US"/>
      </w:rPr>
      <w:t>ume</w:t>
    </w:r>
    <w:r w:rsidRPr="00182E16">
      <w:rPr>
        <w:sz w:val="18"/>
        <w:szCs w:val="18"/>
      </w:rPr>
      <w:t xml:space="preserve"> </w:t>
    </w:r>
    <w:r w:rsidR="00043FB2" w:rsidRPr="00182E16">
      <w:rPr>
        <w:sz w:val="18"/>
        <w:szCs w:val="18"/>
      </w:rPr>
      <w:t>99</w:t>
    </w:r>
    <w:r w:rsidRPr="00182E16">
      <w:rPr>
        <w:sz w:val="18"/>
        <w:szCs w:val="18"/>
      </w:rPr>
      <w:t xml:space="preserve">, No </w:t>
    </w:r>
    <w:r w:rsidR="00043FB2" w:rsidRPr="00182E16">
      <w:rPr>
        <w:sz w:val="18"/>
        <w:szCs w:val="18"/>
      </w:rPr>
      <w:t>99</w:t>
    </w:r>
    <w:r w:rsidRPr="00182E16">
      <w:rPr>
        <w:sz w:val="18"/>
        <w:szCs w:val="18"/>
      </w:rPr>
      <w:t xml:space="preserve">, </w:t>
    </w:r>
    <w:r w:rsidR="009712F3" w:rsidRPr="00182E16">
      <w:rPr>
        <w:sz w:val="18"/>
        <w:szCs w:val="18"/>
      </w:rPr>
      <w:t xml:space="preserve">Bulan </w:t>
    </w:r>
    <w:r w:rsidRPr="00182E16">
      <w:rPr>
        <w:sz w:val="18"/>
        <w:szCs w:val="18"/>
      </w:rPr>
      <w:t>20</w:t>
    </w:r>
    <w:r w:rsidR="005D0C28" w:rsidRPr="00182E16">
      <w:rPr>
        <w:sz w:val="18"/>
        <w:szCs w:val="18"/>
        <w:lang w:val="en-US"/>
      </w:rPr>
      <w:t>2</w:t>
    </w:r>
    <w:r w:rsidR="00624CF2" w:rsidRPr="00182E16">
      <w:rPr>
        <w:sz w:val="18"/>
        <w:szCs w:val="18"/>
        <w:lang w:val="en-US"/>
      </w:rPr>
      <w:t>3</w:t>
    </w:r>
    <w:r w:rsidR="004D3299" w:rsidRPr="00182E16">
      <w:rPr>
        <w:sz w:val="18"/>
        <w:szCs w:val="18"/>
        <w:lang w:val="en-US"/>
      </w:rPr>
      <w:t xml:space="preserve"> Page: </w:t>
    </w:r>
    <w:r w:rsidR="004D3299" w:rsidRPr="00182E16">
      <w:rPr>
        <w:sz w:val="18"/>
        <w:szCs w:val="18"/>
      </w:rPr>
      <w:t>999</w:t>
    </w:r>
    <w:r w:rsidR="00BB5CA9" w:rsidRPr="00182E16">
      <w:rPr>
        <w:rFonts w:cstheme="minorHAnsi"/>
        <w:sz w:val="18"/>
        <w:szCs w:val="18"/>
      </w:rPr>
      <w:t>−</w:t>
    </w:r>
    <w:r w:rsidR="004D3299" w:rsidRPr="00182E16">
      <w:rPr>
        <w:sz w:val="18"/>
        <w:szCs w:val="18"/>
      </w:rPr>
      <w:t>999</w:t>
    </w:r>
    <w:r w:rsidRPr="00182E16">
      <w:rPr>
        <w:sz w:val="18"/>
        <w:szCs w:val="18"/>
      </w:rPr>
      <w:tab/>
    </w:r>
  </w:p>
  <w:p w14:paraId="75428C36" w14:textId="5633265A" w:rsidR="00215777" w:rsidRPr="00182E16" w:rsidRDefault="00215777" w:rsidP="00215777">
    <w:pPr>
      <w:pStyle w:val="Header"/>
      <w:tabs>
        <w:tab w:val="left" w:pos="3373"/>
      </w:tabs>
      <w:rPr>
        <w:rStyle w:val="Hyperlink"/>
        <w:rFonts w:cstheme="minorHAnsi"/>
        <w:color w:val="auto"/>
        <w:sz w:val="18"/>
        <w:szCs w:val="18"/>
        <w:u w:val="none"/>
        <w:shd w:val="clear" w:color="auto" w:fill="FFFFFF"/>
        <w:lang w:val="en-US"/>
      </w:rPr>
    </w:pPr>
    <w:r w:rsidRPr="00182E16">
      <w:rPr>
        <w:rFonts w:cstheme="minorHAnsi"/>
        <w:sz w:val="18"/>
        <w:szCs w:val="18"/>
      </w:rPr>
      <w:t xml:space="preserve">DOI </w:t>
    </w:r>
    <w:hyperlink r:id="rId3" w:history="1">
      <w:r w:rsidR="00F519AD" w:rsidRPr="00182E16">
        <w:rPr>
          <w:rStyle w:val="Hyperlink"/>
          <w:rFonts w:cstheme="minorHAnsi"/>
          <w:color w:val="auto"/>
          <w:sz w:val="18"/>
          <w:szCs w:val="18"/>
          <w:u w:val="none"/>
          <w:shd w:val="clear" w:color="auto" w:fill="FFFFFF"/>
        </w:rPr>
        <w:t>10.47065/bits.v</w:t>
      </w:r>
      <w:r w:rsidR="00F73FFB" w:rsidRPr="00182E16">
        <w:rPr>
          <w:rStyle w:val="Hyperlink"/>
          <w:rFonts w:cstheme="minorHAnsi"/>
          <w:color w:val="auto"/>
          <w:sz w:val="18"/>
          <w:szCs w:val="18"/>
          <w:u w:val="none"/>
          <w:shd w:val="clear" w:color="auto" w:fill="FFFFFF"/>
          <w:lang w:val="en-US"/>
        </w:rPr>
        <w:t>9</w:t>
      </w:r>
      <w:r w:rsidR="00F519AD" w:rsidRPr="00182E16">
        <w:rPr>
          <w:rStyle w:val="Hyperlink"/>
          <w:rFonts w:cstheme="minorHAnsi"/>
          <w:color w:val="auto"/>
          <w:sz w:val="18"/>
          <w:szCs w:val="18"/>
          <w:u w:val="none"/>
          <w:shd w:val="clear" w:color="auto" w:fill="FFFFFF"/>
        </w:rPr>
        <w:t>i</w:t>
      </w:r>
      <w:r w:rsidR="00F73FFB" w:rsidRPr="00182E16">
        <w:rPr>
          <w:rStyle w:val="Hyperlink"/>
          <w:rFonts w:cstheme="minorHAnsi"/>
          <w:color w:val="auto"/>
          <w:sz w:val="18"/>
          <w:szCs w:val="18"/>
          <w:u w:val="none"/>
          <w:shd w:val="clear" w:color="auto" w:fill="FFFFFF"/>
          <w:lang w:val="en-US"/>
        </w:rPr>
        <w:t>9</w:t>
      </w:r>
      <w:r w:rsidR="00F519AD" w:rsidRPr="00182E16">
        <w:rPr>
          <w:rStyle w:val="Hyperlink"/>
          <w:rFonts w:cstheme="minorHAnsi"/>
          <w:color w:val="auto"/>
          <w:sz w:val="18"/>
          <w:szCs w:val="18"/>
          <w:u w:val="none"/>
          <w:shd w:val="clear" w:color="auto" w:fill="FFFFFF"/>
        </w:rPr>
        <w:t>.</w:t>
      </w:r>
      <w:r w:rsidR="00F73FFB" w:rsidRPr="00182E16">
        <w:rPr>
          <w:rStyle w:val="Hyperlink"/>
          <w:rFonts w:cstheme="minorHAnsi"/>
          <w:color w:val="auto"/>
          <w:sz w:val="18"/>
          <w:szCs w:val="18"/>
          <w:u w:val="none"/>
          <w:shd w:val="clear" w:color="auto" w:fill="FFFFFF"/>
          <w:lang w:val="en-US"/>
        </w:rPr>
        <w:t>999</w:t>
      </w:r>
    </w:hyperlink>
  </w:p>
  <w:p w14:paraId="035327C3" w14:textId="49202ABE" w:rsidR="00C9345E" w:rsidRPr="00182E16" w:rsidRDefault="00C9345E" w:rsidP="00215777">
    <w:pPr>
      <w:pStyle w:val="Header"/>
      <w:tabs>
        <w:tab w:val="left" w:pos="3373"/>
      </w:tabs>
      <w:rPr>
        <w:rFonts w:cstheme="minorHAnsi"/>
        <w:sz w:val="18"/>
        <w:szCs w:val="18"/>
      </w:rPr>
    </w:pPr>
    <w:r w:rsidRPr="00182E16">
      <w:rPr>
        <w:rFonts w:cstheme="minorHAnsi"/>
        <w:sz w:val="18"/>
        <w:szCs w:val="18"/>
      </w:rPr>
      <w:t>https://ejurnal.seminar-id.com/index.php/bits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02389"/>
    <w:multiLevelType w:val="multilevel"/>
    <w:tmpl w:val="DA1E7212"/>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F1B23C1"/>
    <w:multiLevelType w:val="multilevel"/>
    <w:tmpl w:val="2C181A82"/>
    <w:lvl w:ilvl="0">
      <w:start w:val="1"/>
      <w:numFmt w:val="decimal"/>
      <w:lvlText w:val="%1."/>
      <w:lvlJc w:val="left"/>
      <w:pPr>
        <w:ind w:left="786" w:hanging="360"/>
      </w:pPr>
      <w:rPr>
        <w:rFonts w:hint="default"/>
      </w:rPr>
    </w:lvl>
    <w:lvl w:ilvl="1">
      <w:start w:val="5"/>
      <w:numFmt w:val="decimal"/>
      <w:isLgl/>
      <w:lvlText w:val="%1.%2."/>
      <w:lvlJc w:val="left"/>
      <w:pPr>
        <w:ind w:left="786" w:hanging="360"/>
      </w:pPr>
      <w:rPr>
        <w:rFonts w:hint="default"/>
        <w:i/>
      </w:rPr>
    </w:lvl>
    <w:lvl w:ilvl="2">
      <w:start w:val="1"/>
      <w:numFmt w:val="decimal"/>
      <w:isLgl/>
      <w:lvlText w:val="%1.%2.%3."/>
      <w:lvlJc w:val="left"/>
      <w:pPr>
        <w:ind w:left="1146" w:hanging="720"/>
      </w:pPr>
      <w:rPr>
        <w:rFonts w:hint="default"/>
        <w:i/>
      </w:rPr>
    </w:lvl>
    <w:lvl w:ilvl="3">
      <w:start w:val="1"/>
      <w:numFmt w:val="decimal"/>
      <w:isLgl/>
      <w:lvlText w:val="%1.%2.%3.%4."/>
      <w:lvlJc w:val="left"/>
      <w:pPr>
        <w:ind w:left="1146" w:hanging="720"/>
      </w:pPr>
      <w:rPr>
        <w:rFonts w:hint="default"/>
        <w:i/>
      </w:rPr>
    </w:lvl>
    <w:lvl w:ilvl="4">
      <w:start w:val="1"/>
      <w:numFmt w:val="decimal"/>
      <w:isLgl/>
      <w:lvlText w:val="%1.%2.%3.%4.%5."/>
      <w:lvlJc w:val="left"/>
      <w:pPr>
        <w:ind w:left="1506" w:hanging="1080"/>
      </w:pPr>
      <w:rPr>
        <w:rFonts w:hint="default"/>
        <w:i/>
      </w:rPr>
    </w:lvl>
    <w:lvl w:ilvl="5">
      <w:start w:val="1"/>
      <w:numFmt w:val="decimal"/>
      <w:isLgl/>
      <w:lvlText w:val="%1.%2.%3.%4.%5.%6."/>
      <w:lvlJc w:val="left"/>
      <w:pPr>
        <w:ind w:left="1506" w:hanging="1080"/>
      </w:pPr>
      <w:rPr>
        <w:rFonts w:hint="default"/>
        <w:i/>
      </w:rPr>
    </w:lvl>
    <w:lvl w:ilvl="6">
      <w:start w:val="1"/>
      <w:numFmt w:val="decimal"/>
      <w:isLgl/>
      <w:lvlText w:val="%1.%2.%3.%4.%5.%6.%7."/>
      <w:lvlJc w:val="left"/>
      <w:pPr>
        <w:ind w:left="1866" w:hanging="1440"/>
      </w:pPr>
      <w:rPr>
        <w:rFonts w:hint="default"/>
        <w:i/>
      </w:rPr>
    </w:lvl>
    <w:lvl w:ilvl="7">
      <w:start w:val="1"/>
      <w:numFmt w:val="decimal"/>
      <w:isLgl/>
      <w:lvlText w:val="%1.%2.%3.%4.%5.%6.%7.%8."/>
      <w:lvlJc w:val="left"/>
      <w:pPr>
        <w:ind w:left="1866" w:hanging="1440"/>
      </w:pPr>
      <w:rPr>
        <w:rFonts w:hint="default"/>
        <w:i/>
      </w:rPr>
    </w:lvl>
    <w:lvl w:ilvl="8">
      <w:start w:val="1"/>
      <w:numFmt w:val="decimal"/>
      <w:isLgl/>
      <w:lvlText w:val="%1.%2.%3.%4.%5.%6.%7.%8.%9."/>
      <w:lvlJc w:val="left"/>
      <w:pPr>
        <w:ind w:left="2226" w:hanging="1800"/>
      </w:pPr>
      <w:rPr>
        <w:rFonts w:hint="default"/>
        <w:i/>
      </w:rPr>
    </w:lvl>
  </w:abstractNum>
  <w:abstractNum w:abstractNumId="2" w15:restartNumberingAfterBreak="0">
    <w:nsid w:val="100E2983"/>
    <w:multiLevelType w:val="multilevel"/>
    <w:tmpl w:val="97E0FB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AE27BA2"/>
    <w:multiLevelType w:val="hybridMultilevel"/>
    <w:tmpl w:val="D7DEF8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6A70353"/>
    <w:multiLevelType w:val="hybridMultilevel"/>
    <w:tmpl w:val="B836842A"/>
    <w:lvl w:ilvl="0" w:tplc="04090019">
      <w:start w:val="1"/>
      <w:numFmt w:val="lowerLetter"/>
      <w:lvlText w:val="%1."/>
      <w:lvlJc w:val="left"/>
      <w:pPr>
        <w:ind w:left="1004" w:hanging="360"/>
      </w:pPr>
    </w:lvl>
    <w:lvl w:ilvl="1" w:tplc="04090001">
      <w:start w:val="1"/>
      <w:numFmt w:val="bullet"/>
      <w:lvlText w:val=""/>
      <w:lvlJc w:val="left"/>
      <w:pPr>
        <w:ind w:left="1724" w:hanging="360"/>
      </w:pPr>
      <w:rPr>
        <w:rFonts w:ascii="Symbol" w:hAnsi="Symbol"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15:restartNumberingAfterBreak="0">
    <w:nsid w:val="272916C1"/>
    <w:multiLevelType w:val="hybridMultilevel"/>
    <w:tmpl w:val="198EC0B6"/>
    <w:lvl w:ilvl="0" w:tplc="08D2DE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CE96B70"/>
    <w:multiLevelType w:val="hybridMultilevel"/>
    <w:tmpl w:val="F1B093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6E336EF"/>
    <w:multiLevelType w:val="hybridMultilevel"/>
    <w:tmpl w:val="BEEE20B4"/>
    <w:lvl w:ilvl="0" w:tplc="FFFFFFFF">
      <w:start w:val="1"/>
      <w:numFmt w:val="decimal"/>
      <w:lvlText w:val="%1."/>
      <w:lvlJc w:val="left"/>
      <w:pPr>
        <w:ind w:left="991" w:hanging="360"/>
      </w:pPr>
      <w:rPr>
        <w:rFonts w:hint="default"/>
      </w:rPr>
    </w:lvl>
    <w:lvl w:ilvl="1" w:tplc="FFFFFFFF" w:tentative="1">
      <w:start w:val="1"/>
      <w:numFmt w:val="lowerLetter"/>
      <w:lvlText w:val="%2."/>
      <w:lvlJc w:val="left"/>
      <w:pPr>
        <w:ind w:left="1711" w:hanging="360"/>
      </w:pPr>
    </w:lvl>
    <w:lvl w:ilvl="2" w:tplc="FFFFFFFF" w:tentative="1">
      <w:start w:val="1"/>
      <w:numFmt w:val="lowerRoman"/>
      <w:lvlText w:val="%3."/>
      <w:lvlJc w:val="right"/>
      <w:pPr>
        <w:ind w:left="2431" w:hanging="180"/>
      </w:pPr>
    </w:lvl>
    <w:lvl w:ilvl="3" w:tplc="FFFFFFFF" w:tentative="1">
      <w:start w:val="1"/>
      <w:numFmt w:val="decimal"/>
      <w:lvlText w:val="%4."/>
      <w:lvlJc w:val="left"/>
      <w:pPr>
        <w:ind w:left="3151" w:hanging="360"/>
      </w:pPr>
    </w:lvl>
    <w:lvl w:ilvl="4" w:tplc="FFFFFFFF" w:tentative="1">
      <w:start w:val="1"/>
      <w:numFmt w:val="lowerLetter"/>
      <w:lvlText w:val="%5."/>
      <w:lvlJc w:val="left"/>
      <w:pPr>
        <w:ind w:left="3871" w:hanging="360"/>
      </w:pPr>
    </w:lvl>
    <w:lvl w:ilvl="5" w:tplc="FFFFFFFF" w:tentative="1">
      <w:start w:val="1"/>
      <w:numFmt w:val="lowerRoman"/>
      <w:lvlText w:val="%6."/>
      <w:lvlJc w:val="right"/>
      <w:pPr>
        <w:ind w:left="4591" w:hanging="180"/>
      </w:pPr>
    </w:lvl>
    <w:lvl w:ilvl="6" w:tplc="FFFFFFFF" w:tentative="1">
      <w:start w:val="1"/>
      <w:numFmt w:val="decimal"/>
      <w:lvlText w:val="%7."/>
      <w:lvlJc w:val="left"/>
      <w:pPr>
        <w:ind w:left="5311" w:hanging="360"/>
      </w:pPr>
    </w:lvl>
    <w:lvl w:ilvl="7" w:tplc="FFFFFFFF" w:tentative="1">
      <w:start w:val="1"/>
      <w:numFmt w:val="lowerLetter"/>
      <w:lvlText w:val="%8."/>
      <w:lvlJc w:val="left"/>
      <w:pPr>
        <w:ind w:left="6031" w:hanging="360"/>
      </w:pPr>
    </w:lvl>
    <w:lvl w:ilvl="8" w:tplc="FFFFFFFF" w:tentative="1">
      <w:start w:val="1"/>
      <w:numFmt w:val="lowerRoman"/>
      <w:lvlText w:val="%9."/>
      <w:lvlJc w:val="right"/>
      <w:pPr>
        <w:ind w:left="6751" w:hanging="180"/>
      </w:pPr>
    </w:lvl>
  </w:abstractNum>
  <w:abstractNum w:abstractNumId="8" w15:restartNumberingAfterBreak="0">
    <w:nsid w:val="49F5773D"/>
    <w:multiLevelType w:val="hybridMultilevel"/>
    <w:tmpl w:val="B27E300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 w15:restartNumberingAfterBreak="0">
    <w:nsid w:val="65107182"/>
    <w:multiLevelType w:val="multilevel"/>
    <w:tmpl w:val="91C4AA5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10" w15:restartNumberingAfterBreak="0">
    <w:nsid w:val="68264ABC"/>
    <w:multiLevelType w:val="hybridMultilevel"/>
    <w:tmpl w:val="8F205FFA"/>
    <w:lvl w:ilvl="0" w:tplc="0421000F">
      <w:start w:val="3"/>
      <w:numFmt w:val="decimal"/>
      <w:lvlText w:val="%1."/>
      <w:lvlJc w:val="left"/>
      <w:pPr>
        <w:ind w:left="489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F097956"/>
    <w:multiLevelType w:val="hybridMultilevel"/>
    <w:tmpl w:val="B2D42310"/>
    <w:lvl w:ilvl="0" w:tplc="04090019">
      <w:start w:val="1"/>
      <w:numFmt w:val="decimal"/>
      <w:lvlText w:val="%1."/>
      <w:lvlJc w:val="left"/>
      <w:pPr>
        <w:ind w:left="749" w:hanging="46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0"/>
  </w:num>
  <w:num w:numId="2">
    <w:abstractNumId w:val="8"/>
  </w:num>
  <w:num w:numId="3">
    <w:abstractNumId w:val="1"/>
  </w:num>
  <w:num w:numId="4">
    <w:abstractNumId w:val="9"/>
  </w:num>
  <w:num w:numId="5">
    <w:abstractNumId w:val="11"/>
  </w:num>
  <w:num w:numId="6">
    <w:abstractNumId w:val="7"/>
  </w:num>
  <w:num w:numId="7">
    <w:abstractNumId w:val="6"/>
  </w:num>
  <w:num w:numId="8">
    <w:abstractNumId w:val="5"/>
  </w:num>
  <w:num w:numId="9">
    <w:abstractNumId w:val="4"/>
  </w:num>
  <w:num w:numId="10">
    <w:abstractNumId w:val="3"/>
  </w:num>
  <w:num w:numId="11">
    <w:abstractNumId w:val="2"/>
  </w:num>
  <w:num w:numId="1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38"/>
    <w:rsid w:val="00000BB2"/>
    <w:rsid w:val="00002FC5"/>
    <w:rsid w:val="00010111"/>
    <w:rsid w:val="00011A34"/>
    <w:rsid w:val="0001490A"/>
    <w:rsid w:val="00016000"/>
    <w:rsid w:val="0001758C"/>
    <w:rsid w:val="00021F3D"/>
    <w:rsid w:val="000239FE"/>
    <w:rsid w:val="00024966"/>
    <w:rsid w:val="00025C6A"/>
    <w:rsid w:val="000274CD"/>
    <w:rsid w:val="000311E1"/>
    <w:rsid w:val="00033DC3"/>
    <w:rsid w:val="000345E9"/>
    <w:rsid w:val="00035861"/>
    <w:rsid w:val="00036F32"/>
    <w:rsid w:val="0004205F"/>
    <w:rsid w:val="0004249E"/>
    <w:rsid w:val="000432A2"/>
    <w:rsid w:val="00043FB2"/>
    <w:rsid w:val="00046306"/>
    <w:rsid w:val="00050148"/>
    <w:rsid w:val="00050726"/>
    <w:rsid w:val="0005167D"/>
    <w:rsid w:val="00052C23"/>
    <w:rsid w:val="00052CE6"/>
    <w:rsid w:val="00052F88"/>
    <w:rsid w:val="00054286"/>
    <w:rsid w:val="00055DA5"/>
    <w:rsid w:val="0005690C"/>
    <w:rsid w:val="00057A5C"/>
    <w:rsid w:val="00057A68"/>
    <w:rsid w:val="000600DD"/>
    <w:rsid w:val="0006092D"/>
    <w:rsid w:val="00061397"/>
    <w:rsid w:val="00061694"/>
    <w:rsid w:val="000622F7"/>
    <w:rsid w:val="00062530"/>
    <w:rsid w:val="000652D5"/>
    <w:rsid w:val="0007078D"/>
    <w:rsid w:val="000708B9"/>
    <w:rsid w:val="00071841"/>
    <w:rsid w:val="00071E87"/>
    <w:rsid w:val="00072168"/>
    <w:rsid w:val="000745BA"/>
    <w:rsid w:val="00074B40"/>
    <w:rsid w:val="00075553"/>
    <w:rsid w:val="00075A38"/>
    <w:rsid w:val="00080E14"/>
    <w:rsid w:val="00084089"/>
    <w:rsid w:val="000902F8"/>
    <w:rsid w:val="00090417"/>
    <w:rsid w:val="00090715"/>
    <w:rsid w:val="00091DD3"/>
    <w:rsid w:val="00092423"/>
    <w:rsid w:val="00094331"/>
    <w:rsid w:val="00094959"/>
    <w:rsid w:val="00096A12"/>
    <w:rsid w:val="00097E8D"/>
    <w:rsid w:val="000A2A24"/>
    <w:rsid w:val="000A502F"/>
    <w:rsid w:val="000A560E"/>
    <w:rsid w:val="000A69F5"/>
    <w:rsid w:val="000A727B"/>
    <w:rsid w:val="000B099C"/>
    <w:rsid w:val="000B0C19"/>
    <w:rsid w:val="000B0F2F"/>
    <w:rsid w:val="000B1AEA"/>
    <w:rsid w:val="000B2EFD"/>
    <w:rsid w:val="000B3BE7"/>
    <w:rsid w:val="000B482F"/>
    <w:rsid w:val="000B710D"/>
    <w:rsid w:val="000B7612"/>
    <w:rsid w:val="000C0358"/>
    <w:rsid w:val="000C2BF1"/>
    <w:rsid w:val="000C303B"/>
    <w:rsid w:val="000C31F4"/>
    <w:rsid w:val="000C3BA8"/>
    <w:rsid w:val="000C4A03"/>
    <w:rsid w:val="000C6C83"/>
    <w:rsid w:val="000D6A72"/>
    <w:rsid w:val="000E6238"/>
    <w:rsid w:val="000F2DC0"/>
    <w:rsid w:val="000F3D88"/>
    <w:rsid w:val="000F60E3"/>
    <w:rsid w:val="000F7586"/>
    <w:rsid w:val="000F75FB"/>
    <w:rsid w:val="001004E5"/>
    <w:rsid w:val="00101B1E"/>
    <w:rsid w:val="00101F8A"/>
    <w:rsid w:val="00102852"/>
    <w:rsid w:val="00102965"/>
    <w:rsid w:val="00103DBD"/>
    <w:rsid w:val="00104C16"/>
    <w:rsid w:val="0010584A"/>
    <w:rsid w:val="00106D06"/>
    <w:rsid w:val="00107846"/>
    <w:rsid w:val="00111820"/>
    <w:rsid w:val="00114087"/>
    <w:rsid w:val="001169D8"/>
    <w:rsid w:val="00116B4E"/>
    <w:rsid w:val="00121F67"/>
    <w:rsid w:val="00125F89"/>
    <w:rsid w:val="00127EB0"/>
    <w:rsid w:val="00131395"/>
    <w:rsid w:val="00132359"/>
    <w:rsid w:val="001328A6"/>
    <w:rsid w:val="00132E17"/>
    <w:rsid w:val="00132F0D"/>
    <w:rsid w:val="00135FC8"/>
    <w:rsid w:val="001361C1"/>
    <w:rsid w:val="00136FC9"/>
    <w:rsid w:val="00137148"/>
    <w:rsid w:val="001406E0"/>
    <w:rsid w:val="00140B86"/>
    <w:rsid w:val="00140C33"/>
    <w:rsid w:val="00141DA0"/>
    <w:rsid w:val="00143029"/>
    <w:rsid w:val="00143FE3"/>
    <w:rsid w:val="001472BA"/>
    <w:rsid w:val="001479F9"/>
    <w:rsid w:val="00147C06"/>
    <w:rsid w:val="00150795"/>
    <w:rsid w:val="00151155"/>
    <w:rsid w:val="00152218"/>
    <w:rsid w:val="0015379A"/>
    <w:rsid w:val="00153A2B"/>
    <w:rsid w:val="00154DEE"/>
    <w:rsid w:val="00155296"/>
    <w:rsid w:val="00155464"/>
    <w:rsid w:val="00155CEA"/>
    <w:rsid w:val="001563AB"/>
    <w:rsid w:val="00162258"/>
    <w:rsid w:val="00162444"/>
    <w:rsid w:val="00164A9A"/>
    <w:rsid w:val="00164C50"/>
    <w:rsid w:val="00165725"/>
    <w:rsid w:val="00165C49"/>
    <w:rsid w:val="00172DCD"/>
    <w:rsid w:val="001745A2"/>
    <w:rsid w:val="00174BA0"/>
    <w:rsid w:val="00174CCB"/>
    <w:rsid w:val="00176D0D"/>
    <w:rsid w:val="00177D7C"/>
    <w:rsid w:val="00181697"/>
    <w:rsid w:val="00182E16"/>
    <w:rsid w:val="001879B4"/>
    <w:rsid w:val="00187D7E"/>
    <w:rsid w:val="00190390"/>
    <w:rsid w:val="001926E5"/>
    <w:rsid w:val="001933EC"/>
    <w:rsid w:val="001946DD"/>
    <w:rsid w:val="00195264"/>
    <w:rsid w:val="00196103"/>
    <w:rsid w:val="001A187E"/>
    <w:rsid w:val="001A2E61"/>
    <w:rsid w:val="001A318F"/>
    <w:rsid w:val="001A36DA"/>
    <w:rsid w:val="001A4B13"/>
    <w:rsid w:val="001A56EA"/>
    <w:rsid w:val="001B0901"/>
    <w:rsid w:val="001B0C95"/>
    <w:rsid w:val="001B15F6"/>
    <w:rsid w:val="001B6EFF"/>
    <w:rsid w:val="001B7DD2"/>
    <w:rsid w:val="001C1B27"/>
    <w:rsid w:val="001C3382"/>
    <w:rsid w:val="001C3AE5"/>
    <w:rsid w:val="001D01B3"/>
    <w:rsid w:val="001D13C1"/>
    <w:rsid w:val="001D5E8E"/>
    <w:rsid w:val="001E0C60"/>
    <w:rsid w:val="001E1769"/>
    <w:rsid w:val="001E1D5C"/>
    <w:rsid w:val="001E1E0C"/>
    <w:rsid w:val="001E2444"/>
    <w:rsid w:val="001E4A34"/>
    <w:rsid w:val="001E4C79"/>
    <w:rsid w:val="001E4F09"/>
    <w:rsid w:val="001E5EFC"/>
    <w:rsid w:val="001E76E2"/>
    <w:rsid w:val="001E7C63"/>
    <w:rsid w:val="001F0AC2"/>
    <w:rsid w:val="001F1624"/>
    <w:rsid w:val="001F5C0A"/>
    <w:rsid w:val="001F720A"/>
    <w:rsid w:val="002002D1"/>
    <w:rsid w:val="0020099B"/>
    <w:rsid w:val="0020796C"/>
    <w:rsid w:val="00207C8B"/>
    <w:rsid w:val="00207CBF"/>
    <w:rsid w:val="0021114D"/>
    <w:rsid w:val="002116C4"/>
    <w:rsid w:val="0021176D"/>
    <w:rsid w:val="002134BF"/>
    <w:rsid w:val="00213D51"/>
    <w:rsid w:val="002145D3"/>
    <w:rsid w:val="00214CCB"/>
    <w:rsid w:val="00215777"/>
    <w:rsid w:val="00215DD7"/>
    <w:rsid w:val="00216737"/>
    <w:rsid w:val="00216A31"/>
    <w:rsid w:val="00217348"/>
    <w:rsid w:val="00226C5E"/>
    <w:rsid w:val="00227DC3"/>
    <w:rsid w:val="00230490"/>
    <w:rsid w:val="00231DE1"/>
    <w:rsid w:val="0023666D"/>
    <w:rsid w:val="00236F83"/>
    <w:rsid w:val="002371F5"/>
    <w:rsid w:val="002406D4"/>
    <w:rsid w:val="002416A6"/>
    <w:rsid w:val="002417CD"/>
    <w:rsid w:val="00241C47"/>
    <w:rsid w:val="00243284"/>
    <w:rsid w:val="002438FC"/>
    <w:rsid w:val="00243BD6"/>
    <w:rsid w:val="00244B52"/>
    <w:rsid w:val="00250B8E"/>
    <w:rsid w:val="0025293F"/>
    <w:rsid w:val="00254D8A"/>
    <w:rsid w:val="002568DC"/>
    <w:rsid w:val="00256DA2"/>
    <w:rsid w:val="00262E4C"/>
    <w:rsid w:val="00263BEA"/>
    <w:rsid w:val="00264B89"/>
    <w:rsid w:val="00266983"/>
    <w:rsid w:val="0026790B"/>
    <w:rsid w:val="00270BE4"/>
    <w:rsid w:val="002712A0"/>
    <w:rsid w:val="00274C52"/>
    <w:rsid w:val="00281699"/>
    <w:rsid w:val="00281F0D"/>
    <w:rsid w:val="00283356"/>
    <w:rsid w:val="00283571"/>
    <w:rsid w:val="00286FE7"/>
    <w:rsid w:val="002910FB"/>
    <w:rsid w:val="00291444"/>
    <w:rsid w:val="002918B1"/>
    <w:rsid w:val="0029271C"/>
    <w:rsid w:val="00292F09"/>
    <w:rsid w:val="00295446"/>
    <w:rsid w:val="00295BCD"/>
    <w:rsid w:val="0029604F"/>
    <w:rsid w:val="00296261"/>
    <w:rsid w:val="00297525"/>
    <w:rsid w:val="002A0785"/>
    <w:rsid w:val="002A170D"/>
    <w:rsid w:val="002A1A21"/>
    <w:rsid w:val="002A292F"/>
    <w:rsid w:val="002A4CCD"/>
    <w:rsid w:val="002B045E"/>
    <w:rsid w:val="002B09B5"/>
    <w:rsid w:val="002B1731"/>
    <w:rsid w:val="002B17A1"/>
    <w:rsid w:val="002B3425"/>
    <w:rsid w:val="002B4509"/>
    <w:rsid w:val="002B50E7"/>
    <w:rsid w:val="002B52A5"/>
    <w:rsid w:val="002B5CC2"/>
    <w:rsid w:val="002C07C8"/>
    <w:rsid w:val="002C0EC4"/>
    <w:rsid w:val="002C1CA3"/>
    <w:rsid w:val="002C3DEE"/>
    <w:rsid w:val="002C4A14"/>
    <w:rsid w:val="002C4B64"/>
    <w:rsid w:val="002C4E40"/>
    <w:rsid w:val="002C51CB"/>
    <w:rsid w:val="002C7DD8"/>
    <w:rsid w:val="002D14AC"/>
    <w:rsid w:val="002D5302"/>
    <w:rsid w:val="002D5470"/>
    <w:rsid w:val="002D6D86"/>
    <w:rsid w:val="002D7A4A"/>
    <w:rsid w:val="002E226E"/>
    <w:rsid w:val="002E498F"/>
    <w:rsid w:val="002E581D"/>
    <w:rsid w:val="002E7142"/>
    <w:rsid w:val="002F07C9"/>
    <w:rsid w:val="002F13E7"/>
    <w:rsid w:val="002F5030"/>
    <w:rsid w:val="002F634E"/>
    <w:rsid w:val="00300958"/>
    <w:rsid w:val="003055E7"/>
    <w:rsid w:val="00311F5F"/>
    <w:rsid w:val="00313F4B"/>
    <w:rsid w:val="003144AD"/>
    <w:rsid w:val="003156EE"/>
    <w:rsid w:val="00317405"/>
    <w:rsid w:val="00320E4E"/>
    <w:rsid w:val="00321D5E"/>
    <w:rsid w:val="00324190"/>
    <w:rsid w:val="00324823"/>
    <w:rsid w:val="0032669E"/>
    <w:rsid w:val="003307E0"/>
    <w:rsid w:val="0033124B"/>
    <w:rsid w:val="00332DD2"/>
    <w:rsid w:val="00333312"/>
    <w:rsid w:val="00333B5E"/>
    <w:rsid w:val="00333D48"/>
    <w:rsid w:val="00334085"/>
    <w:rsid w:val="00335645"/>
    <w:rsid w:val="00335F21"/>
    <w:rsid w:val="00336743"/>
    <w:rsid w:val="00336AD4"/>
    <w:rsid w:val="00340716"/>
    <w:rsid w:val="00340A62"/>
    <w:rsid w:val="003425E5"/>
    <w:rsid w:val="003442F9"/>
    <w:rsid w:val="00344603"/>
    <w:rsid w:val="003449AA"/>
    <w:rsid w:val="0034729A"/>
    <w:rsid w:val="00352CB4"/>
    <w:rsid w:val="0035309E"/>
    <w:rsid w:val="00354236"/>
    <w:rsid w:val="003543F6"/>
    <w:rsid w:val="0035559B"/>
    <w:rsid w:val="003556E2"/>
    <w:rsid w:val="0035616C"/>
    <w:rsid w:val="003561A4"/>
    <w:rsid w:val="00356F87"/>
    <w:rsid w:val="00362261"/>
    <w:rsid w:val="00363BF4"/>
    <w:rsid w:val="003673F5"/>
    <w:rsid w:val="0036760C"/>
    <w:rsid w:val="0037121B"/>
    <w:rsid w:val="00371605"/>
    <w:rsid w:val="0037250B"/>
    <w:rsid w:val="00372540"/>
    <w:rsid w:val="00372DF7"/>
    <w:rsid w:val="0037352D"/>
    <w:rsid w:val="00374F15"/>
    <w:rsid w:val="003758A6"/>
    <w:rsid w:val="00375B70"/>
    <w:rsid w:val="00376587"/>
    <w:rsid w:val="003773F8"/>
    <w:rsid w:val="00377F53"/>
    <w:rsid w:val="00381ECC"/>
    <w:rsid w:val="003820FD"/>
    <w:rsid w:val="00382A18"/>
    <w:rsid w:val="00382A4F"/>
    <w:rsid w:val="00382C4E"/>
    <w:rsid w:val="003830C7"/>
    <w:rsid w:val="0038340F"/>
    <w:rsid w:val="0039061F"/>
    <w:rsid w:val="00390643"/>
    <w:rsid w:val="00391873"/>
    <w:rsid w:val="0039228F"/>
    <w:rsid w:val="0039319E"/>
    <w:rsid w:val="00394BD9"/>
    <w:rsid w:val="00396B9D"/>
    <w:rsid w:val="00397239"/>
    <w:rsid w:val="00397E28"/>
    <w:rsid w:val="003A13EB"/>
    <w:rsid w:val="003A1F98"/>
    <w:rsid w:val="003A2C76"/>
    <w:rsid w:val="003A722D"/>
    <w:rsid w:val="003B0AEE"/>
    <w:rsid w:val="003B266A"/>
    <w:rsid w:val="003B28B7"/>
    <w:rsid w:val="003B61E9"/>
    <w:rsid w:val="003B6C0B"/>
    <w:rsid w:val="003B7F9B"/>
    <w:rsid w:val="003C3B78"/>
    <w:rsid w:val="003C53CA"/>
    <w:rsid w:val="003C7C96"/>
    <w:rsid w:val="003D03AB"/>
    <w:rsid w:val="003D07F0"/>
    <w:rsid w:val="003D20FB"/>
    <w:rsid w:val="003D29DA"/>
    <w:rsid w:val="003D5149"/>
    <w:rsid w:val="003D6AA0"/>
    <w:rsid w:val="003D78D6"/>
    <w:rsid w:val="003E1926"/>
    <w:rsid w:val="003E2635"/>
    <w:rsid w:val="003E3662"/>
    <w:rsid w:val="003E3724"/>
    <w:rsid w:val="003E3E34"/>
    <w:rsid w:val="003E4CD7"/>
    <w:rsid w:val="003F14D2"/>
    <w:rsid w:val="003F34C1"/>
    <w:rsid w:val="003F3F02"/>
    <w:rsid w:val="003F3F1B"/>
    <w:rsid w:val="003F6329"/>
    <w:rsid w:val="003F7425"/>
    <w:rsid w:val="003F788B"/>
    <w:rsid w:val="003F7B11"/>
    <w:rsid w:val="00400910"/>
    <w:rsid w:val="004012DA"/>
    <w:rsid w:val="004035BB"/>
    <w:rsid w:val="00407AF8"/>
    <w:rsid w:val="00410719"/>
    <w:rsid w:val="0041448F"/>
    <w:rsid w:val="00414CA0"/>
    <w:rsid w:val="00414EF0"/>
    <w:rsid w:val="00417394"/>
    <w:rsid w:val="00420CF6"/>
    <w:rsid w:val="0042144E"/>
    <w:rsid w:val="00421785"/>
    <w:rsid w:val="00424B63"/>
    <w:rsid w:val="00424FE6"/>
    <w:rsid w:val="00426E81"/>
    <w:rsid w:val="004274FB"/>
    <w:rsid w:val="00427DC6"/>
    <w:rsid w:val="00430C11"/>
    <w:rsid w:val="00431338"/>
    <w:rsid w:val="00431CD4"/>
    <w:rsid w:val="00433574"/>
    <w:rsid w:val="00435196"/>
    <w:rsid w:val="004356AA"/>
    <w:rsid w:val="004363D8"/>
    <w:rsid w:val="00436F05"/>
    <w:rsid w:val="004378EB"/>
    <w:rsid w:val="004436F4"/>
    <w:rsid w:val="00443F4C"/>
    <w:rsid w:val="00447D67"/>
    <w:rsid w:val="0045033A"/>
    <w:rsid w:val="00450EA3"/>
    <w:rsid w:val="00451DD8"/>
    <w:rsid w:val="00452786"/>
    <w:rsid w:val="004528F8"/>
    <w:rsid w:val="00454519"/>
    <w:rsid w:val="004550B3"/>
    <w:rsid w:val="00457C61"/>
    <w:rsid w:val="00461A7A"/>
    <w:rsid w:val="00462567"/>
    <w:rsid w:val="0046335C"/>
    <w:rsid w:val="00464F8C"/>
    <w:rsid w:val="0046699F"/>
    <w:rsid w:val="0046700A"/>
    <w:rsid w:val="00467D6D"/>
    <w:rsid w:val="00472353"/>
    <w:rsid w:val="0047328F"/>
    <w:rsid w:val="004763BE"/>
    <w:rsid w:val="004807B9"/>
    <w:rsid w:val="0048107A"/>
    <w:rsid w:val="004861BD"/>
    <w:rsid w:val="004911B9"/>
    <w:rsid w:val="00491636"/>
    <w:rsid w:val="00492D3C"/>
    <w:rsid w:val="004954D3"/>
    <w:rsid w:val="004A0202"/>
    <w:rsid w:val="004A2BD0"/>
    <w:rsid w:val="004A3177"/>
    <w:rsid w:val="004A58D4"/>
    <w:rsid w:val="004A66D1"/>
    <w:rsid w:val="004A776B"/>
    <w:rsid w:val="004B0107"/>
    <w:rsid w:val="004B26DA"/>
    <w:rsid w:val="004B4E31"/>
    <w:rsid w:val="004B735F"/>
    <w:rsid w:val="004C020A"/>
    <w:rsid w:val="004C04CA"/>
    <w:rsid w:val="004C0F6A"/>
    <w:rsid w:val="004C3849"/>
    <w:rsid w:val="004C3AF7"/>
    <w:rsid w:val="004C521B"/>
    <w:rsid w:val="004C5ABA"/>
    <w:rsid w:val="004D3232"/>
    <w:rsid w:val="004D3299"/>
    <w:rsid w:val="004D5C63"/>
    <w:rsid w:val="004D5ED8"/>
    <w:rsid w:val="004D633A"/>
    <w:rsid w:val="004D7313"/>
    <w:rsid w:val="004D7D8E"/>
    <w:rsid w:val="004D7F36"/>
    <w:rsid w:val="004E00D5"/>
    <w:rsid w:val="004E0EE1"/>
    <w:rsid w:val="004E289D"/>
    <w:rsid w:val="004E2E6A"/>
    <w:rsid w:val="004E4F01"/>
    <w:rsid w:val="004E59E3"/>
    <w:rsid w:val="004E609A"/>
    <w:rsid w:val="004F132C"/>
    <w:rsid w:val="004F14E4"/>
    <w:rsid w:val="004F3422"/>
    <w:rsid w:val="004F4DD6"/>
    <w:rsid w:val="004F616B"/>
    <w:rsid w:val="0050312A"/>
    <w:rsid w:val="0050665C"/>
    <w:rsid w:val="005072F9"/>
    <w:rsid w:val="00507C39"/>
    <w:rsid w:val="005100ED"/>
    <w:rsid w:val="005117BF"/>
    <w:rsid w:val="00511848"/>
    <w:rsid w:val="00511EA9"/>
    <w:rsid w:val="0051249C"/>
    <w:rsid w:val="00512E12"/>
    <w:rsid w:val="00513AC3"/>
    <w:rsid w:val="0051434B"/>
    <w:rsid w:val="00516FED"/>
    <w:rsid w:val="00521F6C"/>
    <w:rsid w:val="005239D5"/>
    <w:rsid w:val="00523B8F"/>
    <w:rsid w:val="00525651"/>
    <w:rsid w:val="0052586F"/>
    <w:rsid w:val="00526EAC"/>
    <w:rsid w:val="00527022"/>
    <w:rsid w:val="00530A93"/>
    <w:rsid w:val="0053266C"/>
    <w:rsid w:val="00532778"/>
    <w:rsid w:val="005341D2"/>
    <w:rsid w:val="00534AB1"/>
    <w:rsid w:val="00534C71"/>
    <w:rsid w:val="005359F8"/>
    <w:rsid w:val="0053641C"/>
    <w:rsid w:val="00536755"/>
    <w:rsid w:val="005370C7"/>
    <w:rsid w:val="00540BF5"/>
    <w:rsid w:val="00541F94"/>
    <w:rsid w:val="0054402E"/>
    <w:rsid w:val="0054492E"/>
    <w:rsid w:val="00545DC1"/>
    <w:rsid w:val="00547996"/>
    <w:rsid w:val="0055048E"/>
    <w:rsid w:val="00551CA1"/>
    <w:rsid w:val="0055214E"/>
    <w:rsid w:val="005529E5"/>
    <w:rsid w:val="00553978"/>
    <w:rsid w:val="00554669"/>
    <w:rsid w:val="005562FB"/>
    <w:rsid w:val="005572E4"/>
    <w:rsid w:val="00560D57"/>
    <w:rsid w:val="005622DB"/>
    <w:rsid w:val="0056548E"/>
    <w:rsid w:val="00567971"/>
    <w:rsid w:val="00570307"/>
    <w:rsid w:val="0057116A"/>
    <w:rsid w:val="005716F1"/>
    <w:rsid w:val="00577009"/>
    <w:rsid w:val="00580D6A"/>
    <w:rsid w:val="00580D6E"/>
    <w:rsid w:val="005811B0"/>
    <w:rsid w:val="0058276F"/>
    <w:rsid w:val="0058356B"/>
    <w:rsid w:val="00584695"/>
    <w:rsid w:val="00587044"/>
    <w:rsid w:val="005875AC"/>
    <w:rsid w:val="00590DE5"/>
    <w:rsid w:val="005928AE"/>
    <w:rsid w:val="0059556B"/>
    <w:rsid w:val="00595776"/>
    <w:rsid w:val="005978AA"/>
    <w:rsid w:val="005A35F2"/>
    <w:rsid w:val="005A4BB8"/>
    <w:rsid w:val="005A509F"/>
    <w:rsid w:val="005A5CF5"/>
    <w:rsid w:val="005B0ACF"/>
    <w:rsid w:val="005B1F15"/>
    <w:rsid w:val="005B2120"/>
    <w:rsid w:val="005B2AFE"/>
    <w:rsid w:val="005B50BE"/>
    <w:rsid w:val="005B6317"/>
    <w:rsid w:val="005B70E1"/>
    <w:rsid w:val="005C33A6"/>
    <w:rsid w:val="005C4483"/>
    <w:rsid w:val="005C62EB"/>
    <w:rsid w:val="005C741C"/>
    <w:rsid w:val="005D05B0"/>
    <w:rsid w:val="005D061B"/>
    <w:rsid w:val="005D0650"/>
    <w:rsid w:val="005D0C28"/>
    <w:rsid w:val="005D148D"/>
    <w:rsid w:val="005D3D97"/>
    <w:rsid w:val="005D4A6D"/>
    <w:rsid w:val="005D6DCA"/>
    <w:rsid w:val="005D7951"/>
    <w:rsid w:val="005E41CB"/>
    <w:rsid w:val="005E4A13"/>
    <w:rsid w:val="005E659E"/>
    <w:rsid w:val="005F16D5"/>
    <w:rsid w:val="005F1E9F"/>
    <w:rsid w:val="005F4638"/>
    <w:rsid w:val="005F5FC7"/>
    <w:rsid w:val="005F6299"/>
    <w:rsid w:val="005F6CC9"/>
    <w:rsid w:val="0060017E"/>
    <w:rsid w:val="006017B5"/>
    <w:rsid w:val="00603AB9"/>
    <w:rsid w:val="00604CF6"/>
    <w:rsid w:val="006058D6"/>
    <w:rsid w:val="00605FBB"/>
    <w:rsid w:val="006067F0"/>
    <w:rsid w:val="00606C29"/>
    <w:rsid w:val="0060772D"/>
    <w:rsid w:val="006078EB"/>
    <w:rsid w:val="00607B55"/>
    <w:rsid w:val="00607F95"/>
    <w:rsid w:val="00610BA6"/>
    <w:rsid w:val="00610BA8"/>
    <w:rsid w:val="0061186F"/>
    <w:rsid w:val="006124CA"/>
    <w:rsid w:val="0061299D"/>
    <w:rsid w:val="006137CA"/>
    <w:rsid w:val="006143B0"/>
    <w:rsid w:val="00614E09"/>
    <w:rsid w:val="0061586B"/>
    <w:rsid w:val="00615EF1"/>
    <w:rsid w:val="00620A5A"/>
    <w:rsid w:val="00622DC4"/>
    <w:rsid w:val="006240D1"/>
    <w:rsid w:val="0062420E"/>
    <w:rsid w:val="00624CF2"/>
    <w:rsid w:val="006272A0"/>
    <w:rsid w:val="00627E14"/>
    <w:rsid w:val="00630435"/>
    <w:rsid w:val="006311D2"/>
    <w:rsid w:val="0063214F"/>
    <w:rsid w:val="006330E6"/>
    <w:rsid w:val="00640AE5"/>
    <w:rsid w:val="00641DD2"/>
    <w:rsid w:val="00643357"/>
    <w:rsid w:val="00647C83"/>
    <w:rsid w:val="00647D2D"/>
    <w:rsid w:val="00652D06"/>
    <w:rsid w:val="00653AF4"/>
    <w:rsid w:val="00656808"/>
    <w:rsid w:val="00660D03"/>
    <w:rsid w:val="00660F16"/>
    <w:rsid w:val="00664BAD"/>
    <w:rsid w:val="00665882"/>
    <w:rsid w:val="00665C33"/>
    <w:rsid w:val="00666650"/>
    <w:rsid w:val="006674A3"/>
    <w:rsid w:val="00671763"/>
    <w:rsid w:val="006732AB"/>
    <w:rsid w:val="00676621"/>
    <w:rsid w:val="006768AF"/>
    <w:rsid w:val="00677CA4"/>
    <w:rsid w:val="006829DD"/>
    <w:rsid w:val="00682B06"/>
    <w:rsid w:val="0068493D"/>
    <w:rsid w:val="006871A1"/>
    <w:rsid w:val="006872FB"/>
    <w:rsid w:val="00687F46"/>
    <w:rsid w:val="0069014D"/>
    <w:rsid w:val="0069171D"/>
    <w:rsid w:val="00692297"/>
    <w:rsid w:val="00692864"/>
    <w:rsid w:val="00693402"/>
    <w:rsid w:val="0069403A"/>
    <w:rsid w:val="00694E73"/>
    <w:rsid w:val="006A4AFD"/>
    <w:rsid w:val="006B0D2D"/>
    <w:rsid w:val="006B3528"/>
    <w:rsid w:val="006B366C"/>
    <w:rsid w:val="006B43E8"/>
    <w:rsid w:val="006B4822"/>
    <w:rsid w:val="006B6079"/>
    <w:rsid w:val="006B7965"/>
    <w:rsid w:val="006B79D3"/>
    <w:rsid w:val="006C0A31"/>
    <w:rsid w:val="006C1E99"/>
    <w:rsid w:val="006C2154"/>
    <w:rsid w:val="006C2376"/>
    <w:rsid w:val="006C3732"/>
    <w:rsid w:val="006C3BB4"/>
    <w:rsid w:val="006C4CFE"/>
    <w:rsid w:val="006C5CB7"/>
    <w:rsid w:val="006D1A60"/>
    <w:rsid w:val="006D2A2A"/>
    <w:rsid w:val="006D2DFB"/>
    <w:rsid w:val="006D33A1"/>
    <w:rsid w:val="006D56D1"/>
    <w:rsid w:val="006D668B"/>
    <w:rsid w:val="006D72AB"/>
    <w:rsid w:val="006E1705"/>
    <w:rsid w:val="006E23CA"/>
    <w:rsid w:val="006E2A36"/>
    <w:rsid w:val="006E3B12"/>
    <w:rsid w:val="006E534D"/>
    <w:rsid w:val="006E65E9"/>
    <w:rsid w:val="006F052A"/>
    <w:rsid w:val="006F4E01"/>
    <w:rsid w:val="006F504B"/>
    <w:rsid w:val="006F5DC0"/>
    <w:rsid w:val="006F64E0"/>
    <w:rsid w:val="006F68D6"/>
    <w:rsid w:val="00700EA0"/>
    <w:rsid w:val="00701E3E"/>
    <w:rsid w:val="00702484"/>
    <w:rsid w:val="00702513"/>
    <w:rsid w:val="00702CA5"/>
    <w:rsid w:val="007031A1"/>
    <w:rsid w:val="00704392"/>
    <w:rsid w:val="007047DD"/>
    <w:rsid w:val="00704B50"/>
    <w:rsid w:val="00705BF8"/>
    <w:rsid w:val="00707C20"/>
    <w:rsid w:val="007124AA"/>
    <w:rsid w:val="00712662"/>
    <w:rsid w:val="00715102"/>
    <w:rsid w:val="00715134"/>
    <w:rsid w:val="007153F0"/>
    <w:rsid w:val="00715CFC"/>
    <w:rsid w:val="00720DD0"/>
    <w:rsid w:val="00721854"/>
    <w:rsid w:val="00726E7B"/>
    <w:rsid w:val="007332FE"/>
    <w:rsid w:val="0073383E"/>
    <w:rsid w:val="00744501"/>
    <w:rsid w:val="00745DE0"/>
    <w:rsid w:val="007476FB"/>
    <w:rsid w:val="007525A0"/>
    <w:rsid w:val="00752A80"/>
    <w:rsid w:val="007569F1"/>
    <w:rsid w:val="00757124"/>
    <w:rsid w:val="00757CA4"/>
    <w:rsid w:val="00757E33"/>
    <w:rsid w:val="007615FF"/>
    <w:rsid w:val="00763070"/>
    <w:rsid w:val="007653D3"/>
    <w:rsid w:val="00766C14"/>
    <w:rsid w:val="00770FFC"/>
    <w:rsid w:val="00771549"/>
    <w:rsid w:val="00776ABB"/>
    <w:rsid w:val="007803E4"/>
    <w:rsid w:val="00780A64"/>
    <w:rsid w:val="00780B6A"/>
    <w:rsid w:val="007815FF"/>
    <w:rsid w:val="00782C02"/>
    <w:rsid w:val="00783AF4"/>
    <w:rsid w:val="00783C07"/>
    <w:rsid w:val="007853FA"/>
    <w:rsid w:val="00785F9A"/>
    <w:rsid w:val="00787646"/>
    <w:rsid w:val="00790A79"/>
    <w:rsid w:val="00791369"/>
    <w:rsid w:val="00792134"/>
    <w:rsid w:val="007943C9"/>
    <w:rsid w:val="00796673"/>
    <w:rsid w:val="00797672"/>
    <w:rsid w:val="007A00E5"/>
    <w:rsid w:val="007A0771"/>
    <w:rsid w:val="007A1358"/>
    <w:rsid w:val="007A4C3A"/>
    <w:rsid w:val="007A502E"/>
    <w:rsid w:val="007A564D"/>
    <w:rsid w:val="007A5BB7"/>
    <w:rsid w:val="007A679C"/>
    <w:rsid w:val="007A6980"/>
    <w:rsid w:val="007A6A4A"/>
    <w:rsid w:val="007A71FD"/>
    <w:rsid w:val="007A7855"/>
    <w:rsid w:val="007B07B9"/>
    <w:rsid w:val="007B2493"/>
    <w:rsid w:val="007B3989"/>
    <w:rsid w:val="007B3BC7"/>
    <w:rsid w:val="007B4420"/>
    <w:rsid w:val="007B5B31"/>
    <w:rsid w:val="007B66F0"/>
    <w:rsid w:val="007C197C"/>
    <w:rsid w:val="007C257B"/>
    <w:rsid w:val="007C69CE"/>
    <w:rsid w:val="007D0A00"/>
    <w:rsid w:val="007D32F2"/>
    <w:rsid w:val="007D5694"/>
    <w:rsid w:val="007D58C1"/>
    <w:rsid w:val="007D6FB2"/>
    <w:rsid w:val="007E0E65"/>
    <w:rsid w:val="007E43CC"/>
    <w:rsid w:val="007F0B1D"/>
    <w:rsid w:val="007F487B"/>
    <w:rsid w:val="007F4C33"/>
    <w:rsid w:val="007F5425"/>
    <w:rsid w:val="007F636E"/>
    <w:rsid w:val="007F6AC0"/>
    <w:rsid w:val="00800B0D"/>
    <w:rsid w:val="00803240"/>
    <w:rsid w:val="00805318"/>
    <w:rsid w:val="00805B47"/>
    <w:rsid w:val="008064DD"/>
    <w:rsid w:val="00806942"/>
    <w:rsid w:val="00811A9D"/>
    <w:rsid w:val="008144BB"/>
    <w:rsid w:val="0081501A"/>
    <w:rsid w:val="00815E14"/>
    <w:rsid w:val="00816676"/>
    <w:rsid w:val="00820042"/>
    <w:rsid w:val="00821322"/>
    <w:rsid w:val="00822D0F"/>
    <w:rsid w:val="008237CF"/>
    <w:rsid w:val="00824B39"/>
    <w:rsid w:val="00825131"/>
    <w:rsid w:val="00825F2C"/>
    <w:rsid w:val="008267DE"/>
    <w:rsid w:val="00826B47"/>
    <w:rsid w:val="00830B40"/>
    <w:rsid w:val="00831B21"/>
    <w:rsid w:val="00835964"/>
    <w:rsid w:val="00835E7D"/>
    <w:rsid w:val="008366A7"/>
    <w:rsid w:val="00837112"/>
    <w:rsid w:val="008377D0"/>
    <w:rsid w:val="00837C03"/>
    <w:rsid w:val="00843547"/>
    <w:rsid w:val="0084582A"/>
    <w:rsid w:val="008476FB"/>
    <w:rsid w:val="00854C21"/>
    <w:rsid w:val="00854C49"/>
    <w:rsid w:val="00856EB5"/>
    <w:rsid w:val="008575BD"/>
    <w:rsid w:val="00862498"/>
    <w:rsid w:val="0086369E"/>
    <w:rsid w:val="008636E2"/>
    <w:rsid w:val="00865B86"/>
    <w:rsid w:val="00866ACF"/>
    <w:rsid w:val="00867D5A"/>
    <w:rsid w:val="008705C3"/>
    <w:rsid w:val="00871E31"/>
    <w:rsid w:val="00874D6E"/>
    <w:rsid w:val="00875113"/>
    <w:rsid w:val="00875CA4"/>
    <w:rsid w:val="00876CCE"/>
    <w:rsid w:val="00876FAD"/>
    <w:rsid w:val="00877C0D"/>
    <w:rsid w:val="0088302D"/>
    <w:rsid w:val="00883DF1"/>
    <w:rsid w:val="0088710D"/>
    <w:rsid w:val="00891379"/>
    <w:rsid w:val="00891F5A"/>
    <w:rsid w:val="008920BC"/>
    <w:rsid w:val="00893015"/>
    <w:rsid w:val="00895D46"/>
    <w:rsid w:val="008A05EE"/>
    <w:rsid w:val="008A0B8D"/>
    <w:rsid w:val="008A1A13"/>
    <w:rsid w:val="008A1D9E"/>
    <w:rsid w:val="008A205B"/>
    <w:rsid w:val="008A2621"/>
    <w:rsid w:val="008A2C7B"/>
    <w:rsid w:val="008A5AD8"/>
    <w:rsid w:val="008A6522"/>
    <w:rsid w:val="008B199C"/>
    <w:rsid w:val="008B1D73"/>
    <w:rsid w:val="008B6A2C"/>
    <w:rsid w:val="008B6C69"/>
    <w:rsid w:val="008B6DFB"/>
    <w:rsid w:val="008C17F0"/>
    <w:rsid w:val="008C18D6"/>
    <w:rsid w:val="008C1D1B"/>
    <w:rsid w:val="008C27D2"/>
    <w:rsid w:val="008C3359"/>
    <w:rsid w:val="008C4D5D"/>
    <w:rsid w:val="008C5668"/>
    <w:rsid w:val="008C6CFF"/>
    <w:rsid w:val="008D06D7"/>
    <w:rsid w:val="008D12A2"/>
    <w:rsid w:val="008D19E0"/>
    <w:rsid w:val="008D1EE3"/>
    <w:rsid w:val="008D2C01"/>
    <w:rsid w:val="008D4AA7"/>
    <w:rsid w:val="008D5FA1"/>
    <w:rsid w:val="008D6947"/>
    <w:rsid w:val="008D76D9"/>
    <w:rsid w:val="008E182A"/>
    <w:rsid w:val="008E303B"/>
    <w:rsid w:val="008E36E6"/>
    <w:rsid w:val="008E48CB"/>
    <w:rsid w:val="008E4E04"/>
    <w:rsid w:val="008E6118"/>
    <w:rsid w:val="008E655A"/>
    <w:rsid w:val="008F0B78"/>
    <w:rsid w:val="008F154D"/>
    <w:rsid w:val="008F18DC"/>
    <w:rsid w:val="008F3E25"/>
    <w:rsid w:val="008F5AC1"/>
    <w:rsid w:val="008F7201"/>
    <w:rsid w:val="008F75FD"/>
    <w:rsid w:val="008F7F19"/>
    <w:rsid w:val="009009A0"/>
    <w:rsid w:val="00902141"/>
    <w:rsid w:val="0090244B"/>
    <w:rsid w:val="00907715"/>
    <w:rsid w:val="009114A5"/>
    <w:rsid w:val="009128BA"/>
    <w:rsid w:val="0091297A"/>
    <w:rsid w:val="0091355C"/>
    <w:rsid w:val="00913954"/>
    <w:rsid w:val="009142FE"/>
    <w:rsid w:val="0091528E"/>
    <w:rsid w:val="00916F85"/>
    <w:rsid w:val="00917BB1"/>
    <w:rsid w:val="00917D55"/>
    <w:rsid w:val="00917E60"/>
    <w:rsid w:val="00922070"/>
    <w:rsid w:val="0092466F"/>
    <w:rsid w:val="00925245"/>
    <w:rsid w:val="00925953"/>
    <w:rsid w:val="00925E71"/>
    <w:rsid w:val="00926022"/>
    <w:rsid w:val="009265C3"/>
    <w:rsid w:val="009314D7"/>
    <w:rsid w:val="00932323"/>
    <w:rsid w:val="00932DB7"/>
    <w:rsid w:val="00933775"/>
    <w:rsid w:val="00933B2B"/>
    <w:rsid w:val="00934BED"/>
    <w:rsid w:val="00935626"/>
    <w:rsid w:val="0093639B"/>
    <w:rsid w:val="0093797B"/>
    <w:rsid w:val="00941E34"/>
    <w:rsid w:val="00943B71"/>
    <w:rsid w:val="00944191"/>
    <w:rsid w:val="009461FA"/>
    <w:rsid w:val="0094686C"/>
    <w:rsid w:val="009505E0"/>
    <w:rsid w:val="00950D82"/>
    <w:rsid w:val="00954728"/>
    <w:rsid w:val="00954BBE"/>
    <w:rsid w:val="009567F1"/>
    <w:rsid w:val="009578A8"/>
    <w:rsid w:val="0096475F"/>
    <w:rsid w:val="00964D2C"/>
    <w:rsid w:val="009652D8"/>
    <w:rsid w:val="0096663E"/>
    <w:rsid w:val="00970625"/>
    <w:rsid w:val="009712F3"/>
    <w:rsid w:val="00972102"/>
    <w:rsid w:val="009721A9"/>
    <w:rsid w:val="00973609"/>
    <w:rsid w:val="00975D31"/>
    <w:rsid w:val="00977385"/>
    <w:rsid w:val="00981C38"/>
    <w:rsid w:val="00991491"/>
    <w:rsid w:val="00991F14"/>
    <w:rsid w:val="00994528"/>
    <w:rsid w:val="00994659"/>
    <w:rsid w:val="009959DB"/>
    <w:rsid w:val="009A5E40"/>
    <w:rsid w:val="009A6182"/>
    <w:rsid w:val="009A6625"/>
    <w:rsid w:val="009A71D2"/>
    <w:rsid w:val="009A79DF"/>
    <w:rsid w:val="009B19C0"/>
    <w:rsid w:val="009B21CE"/>
    <w:rsid w:val="009B5BEB"/>
    <w:rsid w:val="009B6587"/>
    <w:rsid w:val="009B675D"/>
    <w:rsid w:val="009B6BD4"/>
    <w:rsid w:val="009C18E3"/>
    <w:rsid w:val="009C1989"/>
    <w:rsid w:val="009C4BF3"/>
    <w:rsid w:val="009C5ED5"/>
    <w:rsid w:val="009D120C"/>
    <w:rsid w:val="009D26CA"/>
    <w:rsid w:val="009D29DB"/>
    <w:rsid w:val="009D2F46"/>
    <w:rsid w:val="009D44A6"/>
    <w:rsid w:val="009D522F"/>
    <w:rsid w:val="009E0174"/>
    <w:rsid w:val="009E04F0"/>
    <w:rsid w:val="009E0DCC"/>
    <w:rsid w:val="009E55B8"/>
    <w:rsid w:val="009E577B"/>
    <w:rsid w:val="009E6D92"/>
    <w:rsid w:val="009E76CF"/>
    <w:rsid w:val="009E7964"/>
    <w:rsid w:val="009F00B7"/>
    <w:rsid w:val="009F01E1"/>
    <w:rsid w:val="009F032F"/>
    <w:rsid w:val="009F37F1"/>
    <w:rsid w:val="009F4DB8"/>
    <w:rsid w:val="00A00FB5"/>
    <w:rsid w:val="00A015B0"/>
    <w:rsid w:val="00A0199D"/>
    <w:rsid w:val="00A0228C"/>
    <w:rsid w:val="00A02AEF"/>
    <w:rsid w:val="00A03933"/>
    <w:rsid w:val="00A03959"/>
    <w:rsid w:val="00A0430D"/>
    <w:rsid w:val="00A04AB1"/>
    <w:rsid w:val="00A065F4"/>
    <w:rsid w:val="00A07070"/>
    <w:rsid w:val="00A07445"/>
    <w:rsid w:val="00A11D06"/>
    <w:rsid w:val="00A11D32"/>
    <w:rsid w:val="00A120EF"/>
    <w:rsid w:val="00A12558"/>
    <w:rsid w:val="00A125C5"/>
    <w:rsid w:val="00A12750"/>
    <w:rsid w:val="00A13211"/>
    <w:rsid w:val="00A140A3"/>
    <w:rsid w:val="00A141BC"/>
    <w:rsid w:val="00A2529E"/>
    <w:rsid w:val="00A271A8"/>
    <w:rsid w:val="00A3045C"/>
    <w:rsid w:val="00A3052A"/>
    <w:rsid w:val="00A306A8"/>
    <w:rsid w:val="00A3208F"/>
    <w:rsid w:val="00A33DA0"/>
    <w:rsid w:val="00A34C74"/>
    <w:rsid w:val="00A3551B"/>
    <w:rsid w:val="00A366F0"/>
    <w:rsid w:val="00A41DB2"/>
    <w:rsid w:val="00A4392D"/>
    <w:rsid w:val="00A443DF"/>
    <w:rsid w:val="00A457C5"/>
    <w:rsid w:val="00A50342"/>
    <w:rsid w:val="00A5209C"/>
    <w:rsid w:val="00A55D59"/>
    <w:rsid w:val="00A5700E"/>
    <w:rsid w:val="00A63E82"/>
    <w:rsid w:val="00A7301C"/>
    <w:rsid w:val="00A73E25"/>
    <w:rsid w:val="00A75DB1"/>
    <w:rsid w:val="00A8201C"/>
    <w:rsid w:val="00A829E9"/>
    <w:rsid w:val="00A95634"/>
    <w:rsid w:val="00AA2B54"/>
    <w:rsid w:val="00AA34BC"/>
    <w:rsid w:val="00AA46F2"/>
    <w:rsid w:val="00AA58AF"/>
    <w:rsid w:val="00AA7A60"/>
    <w:rsid w:val="00AB0680"/>
    <w:rsid w:val="00AB204A"/>
    <w:rsid w:val="00AB2DC5"/>
    <w:rsid w:val="00AB2FC8"/>
    <w:rsid w:val="00AB4F9F"/>
    <w:rsid w:val="00AC08D4"/>
    <w:rsid w:val="00AC1263"/>
    <w:rsid w:val="00AC28D0"/>
    <w:rsid w:val="00AC2CB9"/>
    <w:rsid w:val="00AC4EA9"/>
    <w:rsid w:val="00AD063D"/>
    <w:rsid w:val="00AD18EC"/>
    <w:rsid w:val="00AD2214"/>
    <w:rsid w:val="00AD3571"/>
    <w:rsid w:val="00AD45B6"/>
    <w:rsid w:val="00AD5ABB"/>
    <w:rsid w:val="00AD7BBB"/>
    <w:rsid w:val="00AE02DF"/>
    <w:rsid w:val="00AE0D23"/>
    <w:rsid w:val="00AE23CE"/>
    <w:rsid w:val="00AE2904"/>
    <w:rsid w:val="00AE4F91"/>
    <w:rsid w:val="00AF00BE"/>
    <w:rsid w:val="00AF3038"/>
    <w:rsid w:val="00AF451C"/>
    <w:rsid w:val="00AF70B8"/>
    <w:rsid w:val="00AF7186"/>
    <w:rsid w:val="00B00C3B"/>
    <w:rsid w:val="00B0139A"/>
    <w:rsid w:val="00B024BE"/>
    <w:rsid w:val="00B06D45"/>
    <w:rsid w:val="00B06F2B"/>
    <w:rsid w:val="00B10899"/>
    <w:rsid w:val="00B11D5E"/>
    <w:rsid w:val="00B17D78"/>
    <w:rsid w:val="00B2261C"/>
    <w:rsid w:val="00B25ACC"/>
    <w:rsid w:val="00B273F7"/>
    <w:rsid w:val="00B27CA5"/>
    <w:rsid w:val="00B308ED"/>
    <w:rsid w:val="00B30DB9"/>
    <w:rsid w:val="00B3166B"/>
    <w:rsid w:val="00B32903"/>
    <w:rsid w:val="00B34B10"/>
    <w:rsid w:val="00B4300F"/>
    <w:rsid w:val="00B44AB1"/>
    <w:rsid w:val="00B463B4"/>
    <w:rsid w:val="00B46E0C"/>
    <w:rsid w:val="00B53A33"/>
    <w:rsid w:val="00B544DA"/>
    <w:rsid w:val="00B54C88"/>
    <w:rsid w:val="00B54DC1"/>
    <w:rsid w:val="00B5621C"/>
    <w:rsid w:val="00B56D4E"/>
    <w:rsid w:val="00B57384"/>
    <w:rsid w:val="00B57A7D"/>
    <w:rsid w:val="00B60549"/>
    <w:rsid w:val="00B62F36"/>
    <w:rsid w:val="00B63589"/>
    <w:rsid w:val="00B65411"/>
    <w:rsid w:val="00B6676B"/>
    <w:rsid w:val="00B668FC"/>
    <w:rsid w:val="00B72BAE"/>
    <w:rsid w:val="00B74583"/>
    <w:rsid w:val="00B75950"/>
    <w:rsid w:val="00B76711"/>
    <w:rsid w:val="00B77AB1"/>
    <w:rsid w:val="00B80544"/>
    <w:rsid w:val="00B82517"/>
    <w:rsid w:val="00B8387F"/>
    <w:rsid w:val="00B83F4B"/>
    <w:rsid w:val="00B84DCF"/>
    <w:rsid w:val="00B86792"/>
    <w:rsid w:val="00B87110"/>
    <w:rsid w:val="00B916BC"/>
    <w:rsid w:val="00B917FE"/>
    <w:rsid w:val="00B92748"/>
    <w:rsid w:val="00B932AA"/>
    <w:rsid w:val="00B94E5A"/>
    <w:rsid w:val="00B97470"/>
    <w:rsid w:val="00B97620"/>
    <w:rsid w:val="00B97FCB"/>
    <w:rsid w:val="00BA0F2B"/>
    <w:rsid w:val="00BA6CF7"/>
    <w:rsid w:val="00BA7092"/>
    <w:rsid w:val="00BB0093"/>
    <w:rsid w:val="00BB2EED"/>
    <w:rsid w:val="00BB5CA9"/>
    <w:rsid w:val="00BB6FA1"/>
    <w:rsid w:val="00BB7DD1"/>
    <w:rsid w:val="00BC306A"/>
    <w:rsid w:val="00BC380D"/>
    <w:rsid w:val="00BC3E18"/>
    <w:rsid w:val="00BC4AD7"/>
    <w:rsid w:val="00BC6004"/>
    <w:rsid w:val="00BC6B83"/>
    <w:rsid w:val="00BC7344"/>
    <w:rsid w:val="00BD1EA5"/>
    <w:rsid w:val="00BD1FC8"/>
    <w:rsid w:val="00BD31B4"/>
    <w:rsid w:val="00BD345F"/>
    <w:rsid w:val="00BD543D"/>
    <w:rsid w:val="00BE5BE5"/>
    <w:rsid w:val="00BE6A41"/>
    <w:rsid w:val="00BE73A3"/>
    <w:rsid w:val="00BE755A"/>
    <w:rsid w:val="00BF0431"/>
    <w:rsid w:val="00BF063B"/>
    <w:rsid w:val="00BF0826"/>
    <w:rsid w:val="00BF0C5C"/>
    <w:rsid w:val="00BF118A"/>
    <w:rsid w:val="00BF1A52"/>
    <w:rsid w:val="00BF26A6"/>
    <w:rsid w:val="00BF3437"/>
    <w:rsid w:val="00BF45F7"/>
    <w:rsid w:val="00C04078"/>
    <w:rsid w:val="00C05FC0"/>
    <w:rsid w:val="00C11C63"/>
    <w:rsid w:val="00C11D43"/>
    <w:rsid w:val="00C127B4"/>
    <w:rsid w:val="00C13371"/>
    <w:rsid w:val="00C14716"/>
    <w:rsid w:val="00C1699F"/>
    <w:rsid w:val="00C212AF"/>
    <w:rsid w:val="00C23DC5"/>
    <w:rsid w:val="00C23F8B"/>
    <w:rsid w:val="00C24B3B"/>
    <w:rsid w:val="00C26180"/>
    <w:rsid w:val="00C26218"/>
    <w:rsid w:val="00C30C38"/>
    <w:rsid w:val="00C33BC8"/>
    <w:rsid w:val="00C36F06"/>
    <w:rsid w:val="00C371DF"/>
    <w:rsid w:val="00C3734A"/>
    <w:rsid w:val="00C37718"/>
    <w:rsid w:val="00C37752"/>
    <w:rsid w:val="00C37E51"/>
    <w:rsid w:val="00C42652"/>
    <w:rsid w:val="00C439CB"/>
    <w:rsid w:val="00C45206"/>
    <w:rsid w:val="00C4625D"/>
    <w:rsid w:val="00C4688F"/>
    <w:rsid w:val="00C55FF5"/>
    <w:rsid w:val="00C5603A"/>
    <w:rsid w:val="00C617EA"/>
    <w:rsid w:val="00C63ECA"/>
    <w:rsid w:val="00C65C02"/>
    <w:rsid w:val="00C65EFA"/>
    <w:rsid w:val="00C678EC"/>
    <w:rsid w:val="00C67B9C"/>
    <w:rsid w:val="00C757B6"/>
    <w:rsid w:val="00C8133E"/>
    <w:rsid w:val="00C829BB"/>
    <w:rsid w:val="00C83E98"/>
    <w:rsid w:val="00C850FF"/>
    <w:rsid w:val="00C85E82"/>
    <w:rsid w:val="00C87970"/>
    <w:rsid w:val="00C907DC"/>
    <w:rsid w:val="00C9345E"/>
    <w:rsid w:val="00C93922"/>
    <w:rsid w:val="00C95D01"/>
    <w:rsid w:val="00C9682D"/>
    <w:rsid w:val="00C96B79"/>
    <w:rsid w:val="00CA1F76"/>
    <w:rsid w:val="00CA3E7A"/>
    <w:rsid w:val="00CA4E5A"/>
    <w:rsid w:val="00CA5554"/>
    <w:rsid w:val="00CA65C5"/>
    <w:rsid w:val="00CA6912"/>
    <w:rsid w:val="00CA7ED6"/>
    <w:rsid w:val="00CB0297"/>
    <w:rsid w:val="00CB0E9F"/>
    <w:rsid w:val="00CB1E8F"/>
    <w:rsid w:val="00CB2A2B"/>
    <w:rsid w:val="00CB4745"/>
    <w:rsid w:val="00CB5BA2"/>
    <w:rsid w:val="00CB5BC5"/>
    <w:rsid w:val="00CB6B4C"/>
    <w:rsid w:val="00CC1B44"/>
    <w:rsid w:val="00CC2B22"/>
    <w:rsid w:val="00CC314A"/>
    <w:rsid w:val="00CC3B5F"/>
    <w:rsid w:val="00CC47E5"/>
    <w:rsid w:val="00CC6559"/>
    <w:rsid w:val="00CD09DD"/>
    <w:rsid w:val="00CD0DE9"/>
    <w:rsid w:val="00CD2FC5"/>
    <w:rsid w:val="00CD32BD"/>
    <w:rsid w:val="00CD4375"/>
    <w:rsid w:val="00CD5406"/>
    <w:rsid w:val="00CD743D"/>
    <w:rsid w:val="00CD7941"/>
    <w:rsid w:val="00CE1B06"/>
    <w:rsid w:val="00CE1F48"/>
    <w:rsid w:val="00CE31EA"/>
    <w:rsid w:val="00CE3E1B"/>
    <w:rsid w:val="00CE499B"/>
    <w:rsid w:val="00CE5857"/>
    <w:rsid w:val="00CF0F28"/>
    <w:rsid w:val="00CF3EFD"/>
    <w:rsid w:val="00CF414F"/>
    <w:rsid w:val="00CF53B5"/>
    <w:rsid w:val="00CF619B"/>
    <w:rsid w:val="00CF7E87"/>
    <w:rsid w:val="00D01C80"/>
    <w:rsid w:val="00D02DCE"/>
    <w:rsid w:val="00D02F1B"/>
    <w:rsid w:val="00D031D6"/>
    <w:rsid w:val="00D03A94"/>
    <w:rsid w:val="00D03C98"/>
    <w:rsid w:val="00D04737"/>
    <w:rsid w:val="00D067AC"/>
    <w:rsid w:val="00D107AD"/>
    <w:rsid w:val="00D11496"/>
    <w:rsid w:val="00D11EE7"/>
    <w:rsid w:val="00D13656"/>
    <w:rsid w:val="00D217A8"/>
    <w:rsid w:val="00D21B59"/>
    <w:rsid w:val="00D24BB8"/>
    <w:rsid w:val="00D25059"/>
    <w:rsid w:val="00D25798"/>
    <w:rsid w:val="00D2650E"/>
    <w:rsid w:val="00D265AC"/>
    <w:rsid w:val="00D26651"/>
    <w:rsid w:val="00D273CD"/>
    <w:rsid w:val="00D2765C"/>
    <w:rsid w:val="00D302CC"/>
    <w:rsid w:val="00D322CC"/>
    <w:rsid w:val="00D36443"/>
    <w:rsid w:val="00D428F6"/>
    <w:rsid w:val="00D42E9D"/>
    <w:rsid w:val="00D435B5"/>
    <w:rsid w:val="00D45421"/>
    <w:rsid w:val="00D47A82"/>
    <w:rsid w:val="00D50F3C"/>
    <w:rsid w:val="00D5191A"/>
    <w:rsid w:val="00D51E99"/>
    <w:rsid w:val="00D52512"/>
    <w:rsid w:val="00D53DDF"/>
    <w:rsid w:val="00D54068"/>
    <w:rsid w:val="00D543E2"/>
    <w:rsid w:val="00D550FB"/>
    <w:rsid w:val="00D55717"/>
    <w:rsid w:val="00D563FD"/>
    <w:rsid w:val="00D565C0"/>
    <w:rsid w:val="00D56DE4"/>
    <w:rsid w:val="00D57EBB"/>
    <w:rsid w:val="00D61861"/>
    <w:rsid w:val="00D61C5A"/>
    <w:rsid w:val="00D61CDB"/>
    <w:rsid w:val="00D65161"/>
    <w:rsid w:val="00D65D01"/>
    <w:rsid w:val="00D66CDA"/>
    <w:rsid w:val="00D66FC9"/>
    <w:rsid w:val="00D70E0B"/>
    <w:rsid w:val="00D7178F"/>
    <w:rsid w:val="00D744E4"/>
    <w:rsid w:val="00D7695F"/>
    <w:rsid w:val="00D76EB4"/>
    <w:rsid w:val="00D76F81"/>
    <w:rsid w:val="00D8119E"/>
    <w:rsid w:val="00D81478"/>
    <w:rsid w:val="00D83247"/>
    <w:rsid w:val="00D84DB9"/>
    <w:rsid w:val="00D8648A"/>
    <w:rsid w:val="00D867CC"/>
    <w:rsid w:val="00D91274"/>
    <w:rsid w:val="00D92FA8"/>
    <w:rsid w:val="00D96161"/>
    <w:rsid w:val="00DA00DD"/>
    <w:rsid w:val="00DA07EA"/>
    <w:rsid w:val="00DA1AFB"/>
    <w:rsid w:val="00DA245F"/>
    <w:rsid w:val="00DA2546"/>
    <w:rsid w:val="00DA27F9"/>
    <w:rsid w:val="00DA31BC"/>
    <w:rsid w:val="00DA43EA"/>
    <w:rsid w:val="00DA4C09"/>
    <w:rsid w:val="00DA6082"/>
    <w:rsid w:val="00DA7A31"/>
    <w:rsid w:val="00DB0F44"/>
    <w:rsid w:val="00DB1960"/>
    <w:rsid w:val="00DB5B16"/>
    <w:rsid w:val="00DB6D46"/>
    <w:rsid w:val="00DB7414"/>
    <w:rsid w:val="00DC389D"/>
    <w:rsid w:val="00DC503E"/>
    <w:rsid w:val="00DD1D7F"/>
    <w:rsid w:val="00DD3500"/>
    <w:rsid w:val="00DD43FF"/>
    <w:rsid w:val="00DD4A6C"/>
    <w:rsid w:val="00DD4F46"/>
    <w:rsid w:val="00DD57E6"/>
    <w:rsid w:val="00DD7B49"/>
    <w:rsid w:val="00DE0B19"/>
    <w:rsid w:val="00DE0DBA"/>
    <w:rsid w:val="00DE0EB3"/>
    <w:rsid w:val="00DE1E41"/>
    <w:rsid w:val="00DE252F"/>
    <w:rsid w:val="00DE2612"/>
    <w:rsid w:val="00DE63A1"/>
    <w:rsid w:val="00DE753E"/>
    <w:rsid w:val="00DE765A"/>
    <w:rsid w:val="00DF34BF"/>
    <w:rsid w:val="00E0207F"/>
    <w:rsid w:val="00E021E4"/>
    <w:rsid w:val="00E04067"/>
    <w:rsid w:val="00E11217"/>
    <w:rsid w:val="00E11AB0"/>
    <w:rsid w:val="00E140A8"/>
    <w:rsid w:val="00E14F90"/>
    <w:rsid w:val="00E15C8E"/>
    <w:rsid w:val="00E16E6C"/>
    <w:rsid w:val="00E21F0D"/>
    <w:rsid w:val="00E24053"/>
    <w:rsid w:val="00E247F2"/>
    <w:rsid w:val="00E25879"/>
    <w:rsid w:val="00E26A35"/>
    <w:rsid w:val="00E26DFB"/>
    <w:rsid w:val="00E2743F"/>
    <w:rsid w:val="00E33409"/>
    <w:rsid w:val="00E33513"/>
    <w:rsid w:val="00E339A0"/>
    <w:rsid w:val="00E33CE1"/>
    <w:rsid w:val="00E3639B"/>
    <w:rsid w:val="00E37166"/>
    <w:rsid w:val="00E40FFF"/>
    <w:rsid w:val="00E42F2D"/>
    <w:rsid w:val="00E45388"/>
    <w:rsid w:val="00E46445"/>
    <w:rsid w:val="00E46A00"/>
    <w:rsid w:val="00E47213"/>
    <w:rsid w:val="00E47D15"/>
    <w:rsid w:val="00E5181E"/>
    <w:rsid w:val="00E54CD6"/>
    <w:rsid w:val="00E57570"/>
    <w:rsid w:val="00E579EE"/>
    <w:rsid w:val="00E62B6D"/>
    <w:rsid w:val="00E663AD"/>
    <w:rsid w:val="00E71142"/>
    <w:rsid w:val="00E71829"/>
    <w:rsid w:val="00E72B6F"/>
    <w:rsid w:val="00E731A5"/>
    <w:rsid w:val="00E74AFC"/>
    <w:rsid w:val="00E74EC7"/>
    <w:rsid w:val="00E77DFD"/>
    <w:rsid w:val="00E80C4B"/>
    <w:rsid w:val="00E812CD"/>
    <w:rsid w:val="00E87F77"/>
    <w:rsid w:val="00E917D1"/>
    <w:rsid w:val="00E9209C"/>
    <w:rsid w:val="00E931D9"/>
    <w:rsid w:val="00E94F66"/>
    <w:rsid w:val="00E95ADE"/>
    <w:rsid w:val="00E95B35"/>
    <w:rsid w:val="00E96049"/>
    <w:rsid w:val="00E9649A"/>
    <w:rsid w:val="00EA20FC"/>
    <w:rsid w:val="00EA229B"/>
    <w:rsid w:val="00EA2310"/>
    <w:rsid w:val="00EA3807"/>
    <w:rsid w:val="00EA3B2E"/>
    <w:rsid w:val="00EA4E6F"/>
    <w:rsid w:val="00EA504E"/>
    <w:rsid w:val="00EA5DDE"/>
    <w:rsid w:val="00EA7C21"/>
    <w:rsid w:val="00EB0951"/>
    <w:rsid w:val="00EB5527"/>
    <w:rsid w:val="00EB5908"/>
    <w:rsid w:val="00EB629D"/>
    <w:rsid w:val="00EB6449"/>
    <w:rsid w:val="00EB6B80"/>
    <w:rsid w:val="00EC1770"/>
    <w:rsid w:val="00EC3C97"/>
    <w:rsid w:val="00EC4EA8"/>
    <w:rsid w:val="00EC544F"/>
    <w:rsid w:val="00EC5CD1"/>
    <w:rsid w:val="00EC6435"/>
    <w:rsid w:val="00EC78FE"/>
    <w:rsid w:val="00ED0CC2"/>
    <w:rsid w:val="00ED1715"/>
    <w:rsid w:val="00ED18D9"/>
    <w:rsid w:val="00ED2906"/>
    <w:rsid w:val="00ED2D30"/>
    <w:rsid w:val="00ED378E"/>
    <w:rsid w:val="00ED3A56"/>
    <w:rsid w:val="00ED4851"/>
    <w:rsid w:val="00ED6801"/>
    <w:rsid w:val="00EE060F"/>
    <w:rsid w:val="00EE1E71"/>
    <w:rsid w:val="00EE4E79"/>
    <w:rsid w:val="00EE5E9B"/>
    <w:rsid w:val="00EE5EB2"/>
    <w:rsid w:val="00EE7CCC"/>
    <w:rsid w:val="00EF29D9"/>
    <w:rsid w:val="00EF2A27"/>
    <w:rsid w:val="00EF31BC"/>
    <w:rsid w:val="00EF49C9"/>
    <w:rsid w:val="00EF5CDB"/>
    <w:rsid w:val="00EF6363"/>
    <w:rsid w:val="00EF6566"/>
    <w:rsid w:val="00EF6EDB"/>
    <w:rsid w:val="00EF7163"/>
    <w:rsid w:val="00F040F9"/>
    <w:rsid w:val="00F04DBC"/>
    <w:rsid w:val="00F05F68"/>
    <w:rsid w:val="00F063DF"/>
    <w:rsid w:val="00F07BD5"/>
    <w:rsid w:val="00F102A4"/>
    <w:rsid w:val="00F1251E"/>
    <w:rsid w:val="00F13593"/>
    <w:rsid w:val="00F15259"/>
    <w:rsid w:val="00F20851"/>
    <w:rsid w:val="00F20D80"/>
    <w:rsid w:val="00F213E6"/>
    <w:rsid w:val="00F237FA"/>
    <w:rsid w:val="00F30B64"/>
    <w:rsid w:val="00F3111F"/>
    <w:rsid w:val="00F32147"/>
    <w:rsid w:val="00F33E32"/>
    <w:rsid w:val="00F3406D"/>
    <w:rsid w:val="00F347CD"/>
    <w:rsid w:val="00F34FFD"/>
    <w:rsid w:val="00F417BF"/>
    <w:rsid w:val="00F4199C"/>
    <w:rsid w:val="00F42D83"/>
    <w:rsid w:val="00F436F1"/>
    <w:rsid w:val="00F43DC7"/>
    <w:rsid w:val="00F4490C"/>
    <w:rsid w:val="00F45D3C"/>
    <w:rsid w:val="00F519AD"/>
    <w:rsid w:val="00F52A22"/>
    <w:rsid w:val="00F5318B"/>
    <w:rsid w:val="00F5447B"/>
    <w:rsid w:val="00F557B9"/>
    <w:rsid w:val="00F562CF"/>
    <w:rsid w:val="00F56EDD"/>
    <w:rsid w:val="00F61168"/>
    <w:rsid w:val="00F632D0"/>
    <w:rsid w:val="00F63356"/>
    <w:rsid w:val="00F65A81"/>
    <w:rsid w:val="00F67FA6"/>
    <w:rsid w:val="00F70117"/>
    <w:rsid w:val="00F71114"/>
    <w:rsid w:val="00F72512"/>
    <w:rsid w:val="00F73FFB"/>
    <w:rsid w:val="00F767D3"/>
    <w:rsid w:val="00F76EE1"/>
    <w:rsid w:val="00F8088A"/>
    <w:rsid w:val="00F84ECD"/>
    <w:rsid w:val="00F87516"/>
    <w:rsid w:val="00F878ED"/>
    <w:rsid w:val="00F901CB"/>
    <w:rsid w:val="00F9053F"/>
    <w:rsid w:val="00F9054F"/>
    <w:rsid w:val="00FA1D57"/>
    <w:rsid w:val="00FA29C2"/>
    <w:rsid w:val="00FA3537"/>
    <w:rsid w:val="00FA39EA"/>
    <w:rsid w:val="00FA54C9"/>
    <w:rsid w:val="00FA5D2E"/>
    <w:rsid w:val="00FB1979"/>
    <w:rsid w:val="00FB1A11"/>
    <w:rsid w:val="00FB1A7E"/>
    <w:rsid w:val="00FB1A92"/>
    <w:rsid w:val="00FB4E57"/>
    <w:rsid w:val="00FB7523"/>
    <w:rsid w:val="00FC01C5"/>
    <w:rsid w:val="00FC08B5"/>
    <w:rsid w:val="00FC5385"/>
    <w:rsid w:val="00FC58DD"/>
    <w:rsid w:val="00FC6990"/>
    <w:rsid w:val="00FD2AF7"/>
    <w:rsid w:val="00FD3192"/>
    <w:rsid w:val="00FD33F8"/>
    <w:rsid w:val="00FD4777"/>
    <w:rsid w:val="00FD63CC"/>
    <w:rsid w:val="00FE1ABC"/>
    <w:rsid w:val="00FE1DAD"/>
    <w:rsid w:val="00FE25AC"/>
    <w:rsid w:val="00FE485D"/>
    <w:rsid w:val="00FE7B15"/>
    <w:rsid w:val="00FF1AB8"/>
    <w:rsid w:val="00FF2745"/>
    <w:rsid w:val="00FF27F4"/>
    <w:rsid w:val="00FF3E9F"/>
    <w:rsid w:val="00FF50DF"/>
    <w:rsid w:val="00FF7E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258FD"/>
  <w15:chartTrackingRefBased/>
  <w15:docId w15:val="{DD8D9C19-4B4C-47BE-94F0-6F61B911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40" w:lineRule="auto"/>
      <w:ind w:firstLine="283"/>
      <w:jc w:val="both"/>
    </w:pPr>
    <w:rPr>
      <w:rFonts w:ascii="Times New Roman" w:hAnsi="Times New Roman" w:eastAsia="Times New Roman"/>
      <w:sz w:val="19"/>
    </w:rPr>
  </w:style>
  <w:style w:type="paragraph" w:styleId="Heading1">
    <w:name w:val="heading 1"/>
    <w:next w:val="Normal"/>
    <w:link w:val="Heading1Char"/>
    <w:unhideWhenUsed/>
    <w:qFormat/>
    <w:rsid w:val="007A6980"/>
    <w:pPr>
      <w:keepNext/>
      <w:keepLines/>
      <w:spacing w:after="60" w:line="240" w:lineRule="auto" w:before="140"/>
      <w:ind w:left="-5" w:right="-15" w:firstLine="0"/>
      <w:outlineLvl w:val="0"/>
    </w:pPr>
    <w:rPr>
      <w:rFonts w:ascii="Times New Roman" w:eastAsia="Times New Roman" w:hAnsi="Times New Roman" w:cs="Times New Roman"/>
      <w:b/>
      <w:color w:val="000000"/>
      <w:sz w:val="21"/>
      <w:lang w:eastAsia="id-ID"/>
    </w:rPr>
  </w:style>
  <w:style w:type="paragraph" w:styleId="Heading2">
    <w:name w:val="heading 2"/>
    <w:basedOn w:val="Normal"/>
    <w:next w:val="Normal"/>
    <w:link w:val="Heading2Char"/>
    <w:uiPriority w:val="9"/>
    <w:unhideWhenUsed/>
    <w:qFormat/>
    <w:rsid w:val="002C1CA3"/>
    <w:pPr>
      <w:keepNext/>
      <w:tabs>
        <w:tab w:val="num" w:pos="1440"/>
      </w:tabs>
      <w:spacing w:before="140" w:after="60" w:line="240" w:lineRule="auto"/>
      <w:ind w:left="1440" w:firstLine="0"/>
      <w:outlineLvl w:val="1"/>
    </w:pPr>
    <w:rPr>
      <w:rFonts w:asciiTheme="majorHAnsi" w:eastAsiaTheme="majorEastAsia" w:hAnsiTheme="majorHAnsi" w:cstheme="majorBidi" w:ascii="Times New Roman" w:hAnsi="Times New Roman" w:eastAsia="Times New Roman"/>
      <w:b/>
      <w:bCs/>
      <w:i/>
      <w:iCs/>
      <w:color w:val="000000"/>
      <w:sz w:val="20"/>
      <w:szCs w:val="28"/>
      <w:lang w:val="en-US"/>
    </w:rPr>
  </w:style>
  <w:style w:type="paragraph" w:styleId="Heading3">
    <w:name w:val="heading 3"/>
    <w:basedOn w:val="Normal"/>
    <w:next w:val="Normal"/>
    <w:link w:val="Heading3Char"/>
    <w:uiPriority w:val="9"/>
    <w:semiHidden/>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paragraph" w:styleId="Title">
    <w:name w:val="Title"/>
    <w:basedOn w:val="Normal"/>
    <w:link w:val="TitleChar"/>
    <w:qFormat/>
    <w:rsid w:val="007615FF"/>
    <w:pPr>
      <w:keepNext/>
      <w:spacing w:after="60" w:line="240" w:lineRule="auto" w:before="140"/>
      <w:ind w:firstLine="0"/>
      <w:jc w:val="center"/>
    </w:pPr>
    <w:rPr>
      <w:rFonts w:ascii="Times New Roman" w:eastAsia="Times New Roman" w:hAnsi="Times New Roman" w:cs="Times New Roman"/>
      <w:b/>
      <w:color w:val="000000"/>
      <w:sz w:val="28"/>
      <w:szCs w:val="20"/>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4563760">
      <w:bodyDiv w:val="1"/>
      <w:marLeft w:val="0"/>
      <w:marRight w:val="0"/>
      <w:marTop w:val="0"/>
      <w:marBottom w:val="0"/>
      <w:divBdr>
        <w:top w:val="none" w:sz="0" w:space="0" w:color="auto"/>
        <w:left w:val="none" w:sz="0" w:space="0" w:color="auto"/>
        <w:bottom w:val="none" w:sz="0" w:space="0" w:color="auto"/>
        <w:right w:val="none" w:sz="0" w:space="0" w:color="auto"/>
      </w:divBdr>
      <w:divsChild>
        <w:div w:id="1285842449">
          <w:marLeft w:val="0"/>
          <w:marRight w:val="0"/>
          <w:marTop w:val="0"/>
          <w:marBottom w:val="0"/>
          <w:divBdr>
            <w:top w:val="none" w:sz="0" w:space="0" w:color="auto"/>
            <w:left w:val="none" w:sz="0" w:space="0" w:color="auto"/>
            <w:bottom w:val="none" w:sz="0" w:space="0" w:color="auto"/>
            <w:right w:val="none" w:sz="0" w:space="0" w:color="auto"/>
          </w:divBdr>
        </w:div>
        <w:div w:id="1051536501">
          <w:marLeft w:val="0"/>
          <w:marRight w:val="0"/>
          <w:marTop w:val="0"/>
          <w:marBottom w:val="0"/>
          <w:divBdr>
            <w:top w:val="none" w:sz="0" w:space="0" w:color="auto"/>
            <w:left w:val="none" w:sz="0" w:space="0" w:color="auto"/>
            <w:bottom w:val="none" w:sz="0" w:space="0" w:color="auto"/>
            <w:right w:val="none" w:sz="0" w:space="0" w:color="auto"/>
          </w:divBdr>
        </w:div>
        <w:div w:id="323702958">
          <w:marLeft w:val="0"/>
          <w:marRight w:val="0"/>
          <w:marTop w:val="0"/>
          <w:marBottom w:val="0"/>
          <w:divBdr>
            <w:top w:val="none" w:sz="0" w:space="0" w:color="auto"/>
            <w:left w:val="none" w:sz="0" w:space="0" w:color="auto"/>
            <w:bottom w:val="none" w:sz="0" w:space="0" w:color="auto"/>
            <w:right w:val="none" w:sz="0" w:space="0" w:color="auto"/>
          </w:divBdr>
        </w:div>
        <w:div w:id="1112169466">
          <w:marLeft w:val="0"/>
          <w:marRight w:val="0"/>
          <w:marTop w:val="0"/>
          <w:marBottom w:val="0"/>
          <w:divBdr>
            <w:top w:val="none" w:sz="0" w:space="0" w:color="auto"/>
            <w:left w:val="none" w:sz="0" w:space="0" w:color="auto"/>
            <w:bottom w:val="none" w:sz="0" w:space="0" w:color="auto"/>
            <w:right w:val="none" w:sz="0" w:space="0" w:color="auto"/>
          </w:divBdr>
        </w:div>
        <w:div w:id="599873960">
          <w:marLeft w:val="0"/>
          <w:marRight w:val="0"/>
          <w:marTop w:val="0"/>
          <w:marBottom w:val="0"/>
          <w:divBdr>
            <w:top w:val="none" w:sz="0" w:space="0" w:color="auto"/>
            <w:left w:val="none" w:sz="0" w:space="0" w:color="auto"/>
            <w:bottom w:val="none" w:sz="0" w:space="0" w:color="auto"/>
            <w:right w:val="none" w:sz="0" w:space="0" w:color="auto"/>
          </w:divBdr>
        </w:div>
        <w:div w:id="788015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s://doi.org/10.47065/bits.v2i2.492" TargetMode="External"/><Relationship Id="rId2" Type="http://schemas.openxmlformats.org/officeDocument/2006/relationships/image" Target="media/image1.png"/><Relationship Id="rId1" Type="http://schemas.openxmlformats.org/officeDocument/2006/relationships/hyperlink" Target="https://ejurnal.seminar-id.com/index.php/b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Des06</b:Tag>
    <b:SourceType>Book</b:SourceType>
    <b:Guid>{452DDBBA-41ED-4E8F-8B4E-6F2BE65642AB}</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Kus06</b:Tag>
    <b:SourceType>Book</b:SourceType>
    <b:Guid>{FE99A76D-43CF-4091-B24E-FBF2EF6821EA}</b:Guid>
    <b:Author>
      <b:Author>
        <b:NameList>
          <b:Person>
            <b:Last>Kusrini</b:Last>
          </b:Person>
        </b:NameList>
      </b:Author>
      <b:Editor>
        <b:NameList>
          <b:Person>
            <b:Last>Suyantoro</b:Last>
            <b:First>fl.Sigit</b:First>
          </b:Person>
        </b:NameList>
      </b:Editor>
    </b:Author>
    <b:Title>Sistem Pakar Teori dan Aplikasi</b:Title>
    <b:Year>2006</b:Year>
    <b:City>Yogyakarta</b:City>
    <b:CountryRegion>Indonesia</b:CountryRegion>
    <b:Publisher>Penerbit ANDI</b:Publisher>
    <b:Edition>1</b:Edition>
    <b:RefOrder>2</b:RefOrder>
  </b:Source>
  <b:Source>
    <b:Tag>SKo06</b:Tag>
    <b:SourceType>Book</b:SourceType>
    <b:Guid>{B8B824FD-46D8-477D-9ECC-38DC26915C85}</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Placeholder2</b:Tag>
    <b:SourceType>Book</b:SourceType>
    <b:Guid>{9C6E0019-5647-4940-AE9B-0079248D6C65}</b:Guid>
    <b:Author>
      <b:Author>
        <b:NameList>
          <b:Person>
            <b:Last>Adriana</b:Last>
            <b:First>Indarto,</b:First>
            <b:Middle>Abdiansah</b:Middle>
          </b:Person>
        </b:NameList>
      </b:Author>
    </b:Author>
    <b:Title>Penalaran Komputer Berbasis Kasus (Case Based Reasoning)</b:Title>
    <b:Year>2007</b:Year>
    <b:City>Yogyakarta</b:City>
    <b:Publisher>Ardana Media</b:Publisher>
    <b:RefOrder>6</b:RefOrder>
  </b:Source>
  <b:Source>
    <b:Tag>Placeholder1</b:Tag>
    <b:SourceType>Book</b:SourceType>
    <b:Guid>{1E51F894-217F-4E9B-A03C-DFD69980CD3D}</b:Guid>
    <b:Title>Telinga Hidung Tenggorok Kepala dan Leher edisi ketujuh</b:Title>
    <b:Year>2012</b:Year>
    <b:City>Jakarta</b:City>
    <b:Publisher>FK UI</b:Publisher>
    <b:Author>
      <b:Author>
        <b:NameList>
          <b:Person>
            <b:Last>all</b:Last>
            <b:First>Ratna</b:First>
            <b:Middle>Dwi Restuti et</b:Middle>
          </b:Person>
        </b:NameList>
      </b:Author>
    </b:Author>
    <b:RefOrder>5</b:RefOrder>
  </b:Source>
  <b:Source>
    <b:Tag>TSu111</b:Tag>
    <b:SourceType>Book</b:SourceType>
    <b:Guid>{3E54555A-E9D1-497F-BEFE-8C8D9D52EBE8}</b:Guid>
    <b:Author>
      <b:Author>
        <b:NameList>
          <b:Person>
            <b:Last>T.Sutojo</b:Last>
            <b:First>Edy</b:First>
            <b:Middle>Mulyanto, Vincent Suhartono</b:Middle>
          </b:Person>
        </b:NameList>
      </b:Author>
    </b:Author>
    <b:Title>Kecerdasan Buatan</b:Title>
    <b:Year>2011</b:Year>
    <b:City>Yogyakarta</b:City>
    <b:Publisher>Andi</b:Publisher>
    <b:RefOrder>2</b:RefOrder>
  </b:Source>
  <b:Source>
    <b:Tag>Faz</b:Tag>
    <b:SourceType>JournalArticle</b:SourceType>
    <b:Guid>{D9D64CDE-4E38-48C7-B564-6E0046AEA217}</b:Guid>
    <b:Author>
      <b:Author>
        <b:NameList>
          <b:Person>
            <b:Last>Faza Akmal</b:Last>
            <b:First>Sri</b:First>
            <b:Middle>Winiarti</b:Middle>
          </b:Person>
        </b:NameList>
      </b:Author>
    </b:Author>
    <b:Title>SISTEM PPAKAR UNTUK MENDIAGNOSA PENYAKIT LAMBUNG DENGAN IMPLEMENTASI METODE CBR (CASE BASED REASONING) BERBASIS WEB</b:Title>
    <b:JournalName>Jurnal Sarjana Teknik Informatika</b:JournalName>
    <b:Year>Februari 2014</b:Year>
    <b:Volume>2 </b:Volume>
    <b:Issue>1</b:Issue>
    <b:RefOrder>1</b:RefOrder>
  </b:Source>
  <b:Source>
    <b:Tag>Adi17</b:Tag>
    <b:SourceType>JournalArticle</b:SourceType>
    <b:Guid>{DE3845B4-D816-4189-A1ED-EEF6649ACB04}</b:Guid>
    <b:Author>
      <b:Author>
        <b:NameList>
          <b:Person>
            <b:Last>Adiwijaya</b:Last>
            <b:First>Aulia,</b:First>
            <b:Middle>M.N., Mubarok, M.S., Novia, W.U. and Nhita, F.</b:Middle>
          </b:Person>
        </b:NameList>
      </b:Author>
    </b:Author>
    <b:Title>A comparative study of MFCC-KNN and LPC-KNN for hijaiyyah letters pronounciation classification system</b:Title>
    <b:JournalName>Information and Communication Technology (ICoIC7)</b:JournalName>
    <b:Year>2017</b:Year>
    <b:Pages>(pp. 1-5)</b:Pages>
    <b:RefOrder>1</b:RefOrder>
  </b:Source>
  <b:Source xmlns:b="http://schemas.openxmlformats.org/officeDocument/2006/bibliography">
    <b:Tag>AlK05</b:Tag>
    <b:SourceType>JournalArticle</b:SourceType>
    <b:Guid>{D4A28B4B-71B2-4B28-A767-05B4CD153160}</b:Guid>
    <b:Author>
      <b:Author>
        <b:NameList>
          <b:Person>
            <b:Last>Al-Kabi</b:Last>
            <b:Middle>Naji</b:Middle>
            <b:First>Mohammed</b:First>
          </b:Person>
          <b:Person>
            <b:Last>Kanaan</b:Last>
            <b:First>Ghassan</b:First>
          </b:Person>
          <b:Person>
            <b:Last>Al-Shalabi</b:Last>
            <b:First>Riyad</b:First>
          </b:Person>
          <b:Person>
            <b:Last>Al-Sinjilawi</b:Last>
            <b:First>Saja</b:First>
          </b:Person>
          <b:Person>
            <b:Last>Al-Mustafa</b:Last>
            <b:First>Ronza S</b:First>
          </b:Person>
        </b:NameList>
      </b:Author>
    </b:Author>
    <b:Title>Al-Hadith Text Classifier</b:Title>
    <b:JournalName>Journal of Applied Sciences 5</b:JournalName>
    <b:Year>2005</b:Year>
    <b:Pages>584-587</b:Pages>
    <b:RefOrder>2</b:RefOrder>
  </b:Source>
  <b:Source>
    <b:Tag>Har09</b:Tag>
    <b:SourceType>JournalArticle</b:SourceType>
    <b:Guid>{A61E8770-2A31-4DCA-A925-E0B80D1A449E}</b:Guid>
    <b:Title>Neural Network for Arabic Text Classification</b:Title>
    <b:JournalName>2009 Second International Conference on the Applications of Digital Information and Web Technologies</b:JournalName>
    <b:Year>2009</b:Year>
    <b:Pages>778-783</b:Pages>
    <b:Author>
      <b:Author>
        <b:NameList>
          <b:Person>
            <b:Last>Harrag</b:Last>
            <b:First>Fouzi</b:First>
          </b:Person>
          <b:Person>
            <b:Last>El-Qawasmah</b:Last>
            <b:First>Eyas</b:First>
          </b:Person>
        </b:NameList>
      </b:Author>
    </b:Author>
    <b:RefOrder>3</b:RefOrder>
  </b:Source>
  <b:Source>
    <b:Tag>Eli17</b:Tag>
    <b:SourceType>JournalArticle</b:SourceType>
    <b:Guid>{D5BF0395-B92B-48C0-A742-AF7B98CD6D50}</b:Guid>
    <b:Title>Klasifikasi Anjuran, Larangan dan Informasi pada Hadis Sahih Al-Bukhari</b:Title>
    <b:JournalName>e-Proceeding of Engineering</b:JournalName>
    <b:Year>2017</b:Year>
    <b:Pages>4683</b:Pages>
    <b:Author>
      <b:Author>
        <b:NameList>
          <b:Person>
            <b:First>Eliza Riviera Rachmawati Jasin</b:First>
          </b:Person>
          <b:Person>
            <b:First>Said Al-Faraby</b:First>
          </b:Person>
          <b:Person>
            <b:First>Adiwijaya</b:First>
          </b:Person>
        </b:NameList>
      </b:Author>
    </b:Author>
    <b:RefOrder>4</b:RefOrder>
  </b:Source>
  <b:Source>
    <b:Tag>And17</b:Tag>
    <b:SourceType>JournalArticle</b:SourceType>
    <b:Guid>{5DBDFCD7-6F2B-4C33-ADCE-07FE9D4D8E01}</b:Guid>
    <b:Author>
      <b:Author>
        <b:NameList>
          <b:Person>
            <b:First>Andina Kusumaningrum</b:First>
          </b:Person>
          <b:Person>
            <b:First>Said Al-Faraby</b:First>
          </b:Person>
          <b:Person>
            <b:First>Adiwijaya</b:First>
          </b:Person>
        </b:NameList>
      </b:Author>
    </b:Author>
    <b:Title>Klasifikasi Informasi, Anjuran dan Larangan pada Hadits Shahih Bukhari menggunakan Metode Support Vector Machine</b:Title>
    <b:JournalName>e-Proceeding of Engineering</b:JournalName>
    <b:Year>2017</b:Year>
    <b:Pages>5014</b:Pages>
    <b:RefOrder>5</b:RefOrder>
  </b:Source>
  <b:Source>
    <b:Tag>Asr18</b:Tag>
    <b:SourceType>JournalArticle</b:SourceType>
    <b:Guid>{84360794-2EFB-40FB-999F-03B327C391ED}</b:Guid>
    <b:Title>On the Feature Selection and Classification Based on Information Gain for Document Sentiment Analysis</b:Title>
    <b:JournalName>Applied Computational Intelligence and Soft Computing</b:JournalName>
    <b:Year>2018</b:Year>
    <b:Pages>5</b:Pages>
    <b:Author>
      <b:Author>
        <b:NameList>
          <b:Person>
            <b:First>Asriyanti Indah Pratiwi</b:First>
          </b:Person>
          <b:Person>
            <b:Last>Adiwijaya</b:Last>
          </b:Person>
        </b:NameList>
      </b:Author>
    </b:Author>
    <b:Volume>2018</b:Volume>
    <b:DOI>https://doi.org/10.1155/2018/1407817</b:DOI>
    <b:RefOrder>6</b:RefOrder>
  </b:Source>
  <b:Source>
    <b:Tag>MLZ06</b:Tag>
    <b:SourceType>JournalArticle</b:SourceType>
    <b:Guid>{FDC6D874-A86E-4FC1-B885-1CA7F441CE33}</b:Guid>
    <b:Title>Multilabel neural networks with applications to functional genomics and text</b:Title>
    <b:Year>2006</b:Year>
    <b:Pages>1338-1351</b:Pages>
    <b:JournalName>IEEE transactions on Knowledge and Data Engineering</b:JournalName>
    <b:Author>
      <b:Author>
        <b:NameList>
          <b:Person>
            <b:First>M.L. Zhang</b:First>
          </b:Person>
          <b:Person>
            <b:First>Z. H. Zhou</b:First>
          </b:Person>
        </b:NameList>
      </b:Author>
    </b:Author>
    <b:RefOrder>7</b:RefOrder>
  </b:Source>
  <b:Source>
    <b:Tag>Rey18</b:Tag>
    <b:SourceType>JournalArticle</b:SourceType>
    <b:Guid>{1D55D04C-5EF8-4FBF-AE79-9BA7AAF574EA}</b:Guid>
    <b:Author>
      <b:Author>
        <b:NameList>
          <b:Person>
            <b:Last>Reynaldi Ananda Pane</b:Last>
            <b:First>Mohamad</b:First>
            <b:Middle>Syahrul Mubarok, Nanang Saiful Huda, Adiwijaya</b:Middle>
          </b:Person>
        </b:NameList>
      </b:Author>
    </b:Author>
    <b:Title>A Multi-lable Classification on Topics of Quranic Verses in English Translation using Multinomial Naive Bayes</b:Title>
    <b:JournalName>6th International Conference on Information and Communication Technology (ICoICT)</b:JournalName>
    <b:Year>2018</b:Year>
    <b:RefOrder>8</b:RefOrder>
  </b:Source>
  <b:Source>
    <b:Tag>Nur14</b:Tag>
    <b:SourceType>JournalArticle</b:SourceType>
    <b:Guid>{4F7001AB-9F1E-4CF0-AF42-DDB7B763A6DF}</b:Guid>
    <b:Author>
      <b:Author>
        <b:NameList>
          <b:Person>
            <b:Last>Nurcahyo</b:Last>
            <b:First>S.</b:First>
            <b:Middle>and Nhita, F</b:Middle>
          </b:Person>
        </b:NameList>
      </b:Author>
    </b:Author>
    <b:Title>Rainfall Prediction in Kemayoran Jakarta Using Hybrid Genetic Algorithm (GA) and Partially Connected Feedforward Neural Network (PCFNN)</b:Title>
    <b:JournalName>Information and Communication Technology (ICoICT)</b:JournalName>
    <b:Year>2014</b:Year>
    <b:Pages>(pp. 166-171)</b:Pages>
    <b:RefOrder>9</b:RefOrder>
  </b:Source>
  <b:Source>
    <b:Tag>Jok13</b:Tag>
    <b:SourceType>JournalArticle</b:SourceType>
    <b:Guid>{8E9ECD10-BEDF-451A-A301-D8B7CC55C24F}</b:Guid>
    <b:Title>Model Artificial Neural Network berbasis Particle Swarm Optimization untuk Prediksi Laju Inflasi</b:Title>
    <b:Year>2013</b:Year>
    <b:Author>
      <b:Author>
        <b:NameList>
          <b:Person>
            <b:Last>Raharjo</b:Last>
            <b:First>Joko</b:First>
            <b:Middle>S. Dwi</b:Middle>
          </b:Person>
        </b:NameList>
      </b:Author>
    </b:Author>
    <b:JournalName>Sistem Komputer</b:JournalName>
    <b:RefOrder>10</b:RefOrder>
  </b:Source>
  <b:Source>
    <b:Tag>Haz08</b:Tag>
    <b:SourceType>JournalArticle</b:SourceType>
    <b:Guid>{927F34B7-B60E-4827-96DA-FF6A3D458A69}</b:Guid>
    <b:Title>Particle Swarm Optimization For Neural Network Learning Enchancement</b:Title>
    <b:JournalName>Jurnal Teknologi</b:JournalName>
    <b:Year>2008</b:Year>
    <b:Pages>13-26</b:Pages>
    <b:Author>
      <b:Author>
        <b:NameList>
          <b:Person>
            <b:First>Haza Nuzly Abdull Hamed</b:First>
          </b:Person>
          <b:Person>
            <b:First>Siti Mariyam Shamsuddin</b:First>
          </b:Person>
          <b:Person>
            <b:First>Naomie Salim</b:First>
          </b:Person>
        </b:NameList>
      </b:Author>
    </b:Author>
    <b:RefOrder>11</b:RefOrder>
  </b:Source>
</b:Sources>
</file>

<file path=customXml/itemProps1.xml><?xml version="1.0" encoding="utf-8"?>
<ds:datastoreItem xmlns:ds="http://schemas.openxmlformats.org/officeDocument/2006/customXml" ds:itemID="{BAD87FD1-9CB5-44BE-AED1-8050A936C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17</Pages>
  <Words>10938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Building of Informatics, Technology and Science (BITS)</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Generalisasi Deteksi Phishing URL: Saturasi Benchmark pada PhiUSIIL, Evaluasi Temporal, dan Transfer Lintas-Korpus ke PhreshPhish</dc:title>
  <dc:subject>Manuskrip v10 P1 dengan transfer lintas-korpus, evaluasi ambang, dan taksonomi galat</dc:subject>
  <dc:creator>Mesran.M.Kom</dc:creator>
  <cp:keywords>Building of Informatics, Technology and Science (BITS)</cp:keywords>
  <dc:description>v10 P1: koreksi kata pada Gambar 1, pembaruan metadata versi, perluasan related work dan verifikasi referensi. Kandidat untuk tinjauan independen.</dc:description>
  <cp:lastModifiedBy>Mesran Mesran</cp:lastModifiedBy>
  <cp:revision>268</cp:revision>
  <cp:lastPrinted>2018-12-04T15:42:00Z</cp:lastPrinted>
  <dcterms:created xsi:type="dcterms:W3CDTF">2026-08-17T17:32:00Z</dcterms:created>
  <dcterms:modified xsi:type="dcterms:W3CDTF">2026-08-18T08:55:00Z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1c5dabf1-43ad-327d-add2-6b9cba14e6c1</vt:lpwstr>
  </property>
</Properties>
</file>