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 Untuk evaluasi temporal, interval dihitung dengan bootstrap pada unit registrable domain, 1.000 replikasi, dan seed RNG bootstrap 42, diterapkan pada prediksi model seed 13; angka 13 pada Tabel 6 menandai seed model, bukan seed RNG bootstrap.</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antara kedua korpus dapat berasal dari perbedaan sumber pengumpulan, bukan dari perubahan perilaku penyerang seiring waktu. Perancu vendor ini berlaku pada perbandingan lintas korpus PhiUSIIL–PhreshPhish, bukan pada perbandingan antarbulan di dalam PhreshPhish, karena seluruh blok temporal PhreshPhish berasal dari sumber pengumpulan yang sama.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0,999811573 − 0,999649117</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Pemetaan per eksperimen: benchmark PhiUSIIL (E1-E5) dibangun oleh 03_evaluation_pipeline_v2_run_complete.ipynb dengan split_random.csv dan split_sitedisjoint.csv sebagai masukan; evaluasi temporal PhreshPhish (E4) oleh run_temporal.py dengan design.json pada folder run; evaluasi ambang operasional (E7) oleh 01_operational_thresholds.executed.ipynb yang mengimpor paket src eksperimen 7; taksonomi galat (E8) oleh error_taxonomy.py; dan transfer arah balik (E9) oleh reverse_transfer.ipynb. Biner model, prediksi per baris, dan pemisahan baris lengkap dibangkitkan ulang oleh skrip masing-masing dengan seed yang tercatat, bukan oleh satu perintah bersama.</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10587</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