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phishing URL dan website pada venue BITS; evaluasi dalam-korpus</w:t>
            </w:r>
          </w:p>
        </w:tc>
        <w:tc>
          <w:tcPr>
            <w:tcW w:type="dxa" w:w="2338"/>
            <w:vAlign w:val="center"/>
          </w:tcPr>
          <w:p>
            <w:pPr>
              <w:spacing w:after="0"/>
              <w:ind w:firstLine="0"/>
              <w:jc w:val="center"/>
            </w:pPr>
            <w:r>
              <w:rPr>
                <w:rFonts w:ascii="Times New Roman" w:hAnsi="Times New Roman" w:eastAsia="Times New Roman"/>
                <w:sz w:val="14"/>
              </w:rPr>
              <w:t>Pembagian dalam-korpus pada satu dataset per studi (80/20 berstrata pada [11]; 70/30 pada [12]); tidak ada pemisahan berbasis waktu dan tidak ada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 [14]; Android saja pada [15]</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49.121 URL PhishTank, dengan kelas benign diambil dari split uji PhiUSIIL yang dipegang</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validasi eksternal yang hanya eksternal pada sisi phishing (Subbagian 4.6 pada [24]), karena kelas benign diambil dari PhiUSIIL</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artikel tersebut;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deskriptif yang diturunkan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Tiga istilah dipakai konsisten di seluruh naskah: dalam-korpus berarti evaluasi temporal latih-lalu-uji di dalam PhreshPhish; dalam-sumber berarti evaluasi pada blok uji korpus sumber di dalam eksperimen transfer; dan dalam-domain berarti evaluasi referensi pada PhiUSIIL.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dengan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Perlu ditegaskan bahwa rancangan ini menguji kelompok fitur. Enam fitur dihapus bersamaan, sehingga tidak ada identifikasi fitur mana di dalam kelompok yang bertanggung jawab. Klaim yang sah adalah "A1 memiliki F1 sekitar 0,001 lebih rendah daripada A0 pada protokol site-disjoint"; rancangan ini tidak menetapkan kontribusi kausal tiap fitur maupun kelompok fitur. Untuk mengidentifikasi kontribusi per fitur diperlukan desain leave-one-feature-out terpisah, yang tidak dijalankan di sini.</w:t>
      </w:r>
      <w:r>
        <w:rPr>
          <w:rFonts w:ascii="Times New Roman" w:hAnsi="Times New Roman" w:eastAsia="Times New Roman"/>
          <w:sz w:val="19"/>
        </w:rPr>
        <w:t xml:space="preserve"> Selisih rerata A1−A0 lintas lima seed pada Tabel 4 untuk F1 adalah −0,000567,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kontrak 18 fitur dan urutannya sama serta pipeline target benar-benar dibekukan; dua salinan ekstraktor dipakai pada eksperimen berbeda dan kesetaraan nilai keduanya tidak diverifikasi dalam artikel ini.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platform_fn_breakdown.csv dan README.md eksperimen 8 (rincian pages.dev 7.341, dilaporkan sebagai angka prosa)</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Rerata lima seed F1 temporal A2/LightGBM (seluruh 168.035 baris uji)</w:t>
            </w:r>
          </w:p>
        </w:tc>
        <w:tc>
          <w:tcPr>
            <w:tcW w:type="dxa" w:w="3118"/>
          </w:tcPr>
          <w:p>
            <w:pPr>
              <w:jc w:val="left"/>
            </w:pPr>
            <w:r>
              <w:rPr>
                <w:rFonts w:ascii="Times New Roman" w:hAnsi="Times New Roman"/>
                <w:sz w:val="14"/>
              </w:rPr>
              <w:t>0,800461</w:t>
            </w:r>
          </w:p>
        </w:tc>
        <w:tc>
          <w:tcPr>
            <w:tcW w:type="dxa" w:w="3118"/>
          </w:tcPr>
          <w:p>
            <w:pPr>
              <w:jc w:val="left"/>
            </w:pPr>
            <w:r>
              <w:rPr>
                <w:rFonts w:ascii="Times New Roman" w:hAnsi="Times New Roman"/>
                <w:sz w:val="14"/>
              </w:rPr>
              <w:t>summary.csv (eksperimen 5), protokol temporal; simpangan baku 0,001184</w:t>
            </w:r>
          </w:p>
        </w:tc>
      </w:tr>
      <w:tr>
        <w:tc>
          <w:tcPr>
            <w:tcW w:type="dxa" w:w="3118"/>
          </w:tcPr>
          <w:p>
            <w:pPr>
              <w:jc w:val="left"/>
            </w:pPr>
            <w:r>
              <w:rPr>
                <w:rFonts w:ascii="Times New Roman" w:hAnsi="Times New Roman"/>
                <w:sz w:val="14"/>
              </w:rPr>
              <w:t>Rerata lima seed F1 temporal A2/XGBoost (seluruh 168.035 baris uji)</w:t>
            </w:r>
          </w:p>
        </w:tc>
        <w:tc>
          <w:tcPr>
            <w:tcW w:type="dxa" w:w="3118"/>
          </w:tcPr>
          <w:p>
            <w:pPr>
              <w:jc w:val="left"/>
            </w:pPr>
            <w:r>
              <w:rPr>
                <w:rFonts w:ascii="Times New Roman" w:hAnsi="Times New Roman"/>
                <w:sz w:val="14"/>
              </w:rPr>
              <w:t>0,799629</w:t>
            </w:r>
          </w:p>
        </w:tc>
        <w:tc>
          <w:tcPr>
            <w:tcW w:type="dxa" w:w="3118"/>
          </w:tcPr>
          <w:p>
            <w:pPr>
              <w:jc w:val="left"/>
            </w:pPr>
            <w:r>
              <w:rPr>
                <w:rFonts w:ascii="Times New Roman" w:hAnsi="Times New Roman"/>
                <w:sz w:val="14"/>
              </w:rPr>
              <w:t>summary.csv (eksperimen 5), protokol temporal; simpangan baku 0 (prosedur histogram deterministik)</w:t>
            </w:r>
          </w:p>
        </w:tc>
      </w:tr>
      <w:tr>
        <w:tc>
          <w:tcPr>
            <w:tcW w:type="dxa" w:w="3118"/>
          </w:tcPr>
          <w:p>
            <w:pPr>
              <w:jc w:val="left"/>
            </w:pPr>
            <w:r>
              <w:rPr>
                <w:rFonts w:ascii="Times New Roman" w:hAnsi="Times New Roman"/>
                <w:sz w:val="14"/>
              </w:rPr>
              <w:t>Aturan FPR validasi &lt;= 1 %: FPR uji, recall uji, ambang terpilih</w:t>
            </w:r>
          </w:p>
        </w:tc>
        <w:tc>
          <w:tcPr>
            <w:tcW w:type="dxa" w:w="3118"/>
          </w:tcPr>
          <w:p>
            <w:pPr>
              <w:jc w:val="left"/>
            </w:pPr>
            <w:r>
              <w:rPr>
                <w:rFonts w:ascii="Times New Roman" w:hAnsi="Times New Roman"/>
                <w:sz w:val="14"/>
              </w:rPr>
              <w:t>1,1352 %; 0,5440; 0,884705</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Aturan ambang 0,5: FPR uji dan recall uji</w:t>
            </w:r>
          </w:p>
        </w:tc>
        <w:tc>
          <w:tcPr>
            <w:tcW w:type="dxa" w:w="3118"/>
          </w:tcPr>
          <w:p>
            <w:pPr>
              <w:jc w:val="left"/>
            </w:pPr>
            <w:r>
              <w:rPr>
                <w:rFonts w:ascii="Times New Roman" w:hAnsi="Times New Roman"/>
                <w:sz w:val="14"/>
              </w:rPr>
              <w:t>7,6497 %; 0,7380</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FPR pada URL benign dengan panjang &lt;= 30 karakter</w:t>
            </w:r>
          </w:p>
        </w:tc>
        <w:tc>
          <w:tcPr>
            <w:tcW w:type="dxa" w:w="3118"/>
          </w:tcPr>
          <w:p>
            <w:pPr>
              <w:jc w:val="left"/>
            </w:pPr>
            <w:r>
              <w:rPr>
                <w:rFonts w:ascii="Times New Roman" w:hAnsi="Times New Roman"/>
                <w:sz w:val="14"/>
              </w:rPr>
              <w:t>21,8 %</w:t>
            </w:r>
          </w:p>
        </w:tc>
        <w:tc>
          <w:tcPr>
            <w:tcW w:type="dxa" w:w="3118"/>
          </w:tcPr>
          <w:p>
            <w:pPr>
              <w:jc w:val="left"/>
            </w:pPr>
            <w:r>
              <w:rPr>
                <w:rFonts w:ascii="Times New Roman" w:hAnsi="Times New Roman"/>
                <w:sz w:val="14"/>
              </w:rPr>
              <w:t>category_error_table.csv (eksperimen 8), kategori url_length_band &lt;=30</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Kontras A1−A0 pada Subbagian 3.4 menunjukkan perbedaan terukur dengan besar efek sekitar seperseribu F1; hasil itu tidak mengidentifikasi mekanisme saturasi maupun konsekuensi deployment.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dengan 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17</Pages>
  <Words>10890</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