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sekitar 0,988 atau lebih,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pada arah sebaliknya, model yang dilatih pada blok fit PhreshPhish dan diuji pada 235.370 URL PhiUSIIL mencapai F1 0,549564, FPR benign 0,897783, ROC-AUC 0,642939, dan MCC −0,092320.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dua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two-direction frozen A2 zero-shot transfer, validation-only threshold selection, and descriptive error analysis. On PhiUSIIL, A0/LightGBM achieved site-disjoint F1 0.999623; two retained features each had single-feature AUC of about 0.988 or more,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in the reverse direction, training on the PhreshPhish fit block and testing on 235,370 PhiUSIIL URLs achieved F1 0.549564, benign FPR 0.897783, ROC-AUC 0.642939, and MCC −0.092320.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two-direction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Mengusulkan protokol evaluasi untuk kondisi nyata, termasuk studi longitudinal pada interval waktu tetap dengan dan tanpa pelatihan ulang; tidak menjalankan transfer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Menguji ulang metode pada dataset baru dan beragam, termasuk pengaruh rasio kelas; menyatakan pelatihan ulang saja tidak cukup menghadapi serangan baru;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URL pada venue BITS; evaluasi dalam-korpus</w:t>
            </w:r>
          </w:p>
        </w:tc>
        <w:tc>
          <w:tcPr>
            <w:tcW w:type="dxa" w:w="2338"/>
            <w:vAlign w:val="center"/>
          </w:tcPr>
          <w:p>
            <w:pPr>
              <w:spacing w:after="0"/>
              <w:ind w:firstLine="0"/>
              <w:jc w:val="center"/>
            </w:pPr>
            <w:r>
              <w:rPr>
                <w:rFonts w:ascii="Times New Roman" w:hAnsi="Times New Roman" w:eastAsia="Times New Roman"/>
                <w:sz w:val="14"/>
              </w:rPr>
              <w:t>Pembagian dalam-korpus pada satu dataset per studi (80/20 berstrata pada [11]; 70/30 pada [12]); tidak ada pemisahan berbasis waktu dan tidak ada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PhishTank dengan benign independen</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evaluasi eksternal lintas sumber (Subbagian 4.6)</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lintas korpus pada domain ini lebih sedikit dijumpai dibanding literatur klasifikasi dalam-korpus pada penelusuran terarah yang dilakukan di sini; pernyataan ini tidak didasarkan pada survei kuantitatif.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dua arah pada pasangan korpus PhiUSIIL dan PhreshPhish, dengan ekstraktor, model, dan ambang yang tidak disesuaikan pada target, dilaporkan pada artikel ini.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tanpa retraining, kalibrasi, atau penyetelan ambang pada dua arah: dilatih pada PhiUSIIL dan diuji pada PhreshPhish, serta dilatih pada PhreshPhish dan diuji pada PhiUSIIL.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dua arah, PhiUSIIL→PhreshPhish dan PhreshPhish→PhiUSIIL,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yang dapat direproduksi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mencatat konfigurasi dan seed untuk replikasi, dan setiap angka yang dilaporkan pada Bagian 3 berasal dari berkas hasil yang tersimpan, bukan dari pengukuran ulang secara manual.</w:t>
      </w:r>
    </w:p>
    <w:p>
      <w:pPr>
        <w:spacing w:after="60"/>
        <w:ind w:firstLine="283"/>
        <w:jc w:val="both"/>
      </w:pPr>
      <w:r>
        <w:rPr>
          <w:rFonts w:ascii="Times New Roman" w:hAnsi="Times New Roman" w:eastAsia="Times New Roman"/>
          <w:sz w:val="19"/>
        </w:rPr>
        <w:t>Jumlah kecocokan model utama yang dilaporkan adalah 90 kecocokan terpilih: 60 kecocokan benchmark PhiUSIIL, 10 kecocokan evaluasi temporal PhreshPhish, 10 kecocokan transfer lintas-korpus arah maju (2 model × 5 seed), 5 kecocokan LightGBM untuk evaluasi ambang operasional, dan 5 kecocokan LightGBM untuk transfer arah balik pada eksperimen 9. Angka 90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Jalur yang digambarkan adalah arm transfer arah maju: ekstraktor A2, urutan 18 fitur, model, dan ambang 0,5 dibekukan setelah pelatihan pada PhiUSIIL, dan PhreshPhish hanya digunakan sebagai target evaluasi tanpa retraining, kalibrasi, atau pemilihan ambang berbasis target. Arm arah balik (PhreshPhish→PhiUSIIL) dijalankan pada eksperimen 9 dan tidak digambarkan di sini.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dibaca sebagai sekitar 0,988 atau lebih, bukan sebagai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dijalankan dua arah: arah maju melatih model hanya pada PhiUSIIL dan menggunakan kohort uji PhreshPhish sebagai target tanpa adaptasi, dan arah balik melatih model hanya pada blok fit PhreshPhish dengan deduplikasi string URL persis lalu menguji pada PhiUSIIL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pilihan ini juga mempertimbangkan biaya komputasi yang memungkinkan pengulangan lima seed, dan pertimbangan biaya tersebut merupakan keputusan desain studi ini, bukan klaim yang bersumber dari [10].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dari lima metrik per seed, dan tersedia sebagai seed_t_intervals.csv pada folder keluaran eksperimen 5; variasi yang tercakup juga meliputi perubahan partisi pada benchmark.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Kembali ke perbandingan A1−A0: titik estimasinya adalah nilai model seed 42, bukan rerata lima seed pada Tabel 4; seed 42 di sini berperan sebagai seed model, sedangkan seed 42 pada bootstrap berperan sebagai seed RNG resampling. Karena itu selisih pada Tabel 5 dan selisih rerata pada Tabel 4 memang berbeda dan tidak boleh dibandingkan langsung.</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sekitar 0,988 atau lebih,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0,000162 sampai 0,001178 dalam F1, bergantung pada model dan konfigurasi. Untuk A0/LightGBM selisihnya 0,000203; untuk A0/XGBoost 0,000162, dihitung dari nilai tak-terbulatkan pada summary.csv eksperimen 5. Interval kepercayaan 95 % berbasis t (df = 4) pada masing-masing protokol dihitung dan tersedia pada seed_t_intervals.csv eksperimen 5, tidak ditabulasikan dalam artikel ini; interval tersebut menunjukkan variasi lintas seed, bukan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sekitar 0,988 atau lebih,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dapat berdampak lebih besar terhadap beban investigasi analis daripada penurunan recall pada orde yang sama, tetapi besaran beban yang sebenarnya bergantung pada jumlah baris benign dan phishing, prevalensi, aturan tindak lanjut, dan biaya per investigasi, yang tidak dimodelkan di sini.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Metadata eksekusi mencatat 16 CPU logis dan konfigurasi n_jobs, tetapi jumlah thread efektif, kapasitas RAM, dan beban sistem saat eksekusi tidak dicatat; karena itu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Perlu ditegaskan bahwa rancangan ini menguji </w:t>
      </w:r>
      <w:r>
        <w:rPr>
          <w:rFonts w:ascii="Times New Roman" w:hAnsi="Times New Roman" w:eastAsia="Times New Roman"/>
          <w:b/>
          <w:sz w:val="19"/>
        </w:rPr>
        <w:t>kelompok</w:t>
      </w:r>
      <w:r>
        <w:rPr>
          <w:rFonts w:ascii="Times New Roman" w:hAnsi="Times New Roman" w:eastAsia="Times New Roman"/>
          <w:sz w:val="19"/>
        </w:rPr>
        <w:t xml:space="preserve"> fitur. Enam fitur dihapus bersamaan, sehingga tidak ada identifikasi fitur mana di dalam kelompok yang bertanggung jawab. Klaim yang sah adalah "kelompok fitur konten menyumbang sekitar 0,001 F1 pada protokol </w:t>
      </w:r>
      <w:r>
        <w:rPr>
          <w:rFonts w:ascii="Times New Roman" w:hAnsi="Times New Roman" w:eastAsia="Times New Roman"/>
          <w:i/>
          <w:sz w:val="19"/>
        </w:rPr>
        <w:t>site-disjoint</w:t>
      </w:r>
      <w:r>
        <w:rPr>
          <w:rFonts w:ascii="Times New Roman" w:hAnsi="Times New Roman" w:eastAsia="Times New Roman"/>
          <w:sz w:val="19"/>
        </w:rPr>
        <w:t xml:space="preserve">", bukan "fitur X menyumbang sekian". Untuk mengidentifikasi kontribusi per fitur diperlukan desain </w:t>
      </w:r>
      <w:r>
        <w:rPr>
          <w:rFonts w:ascii="Times New Roman" w:hAnsi="Times New Roman" w:eastAsia="Times New Roman"/>
          <w:i/>
          <w:sz w:val="19"/>
        </w:rPr>
        <w:t>leave-one-feature-out</w:t>
      </w:r>
      <w:r>
        <w:rPr>
          <w:rFonts w:ascii="Times New Roman" w:hAnsi="Times New Roman" w:eastAsia="Times New Roman"/>
          <w:sz w:val="19"/>
        </w:rPr>
        <w:t xml:space="preserve"> terpisah, yang tidak dijalankan di sini.</w:t>
      </w:r>
      <w:r>
        <w:rPr>
          <w:rFonts w:ascii="Times New Roman" w:hAnsi="Times New Roman" w:eastAsia="Times New Roman"/>
          <w:sz w:val="19"/>
        </w:rPr>
        <w:t xml:space="preserve"> Selisih rerata A1−A0 lintas lima seed pada Tabel 4 untuk F1 adalah −0,000568,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 Batas interval diambil dari bootstrap_temporal.csv eksperimen 5; berkas cluster_bootstrap_primary_seed.csv pada folder eksperimen 4 memuat interval berbeda untuk estimasi yang sama dan tidak dipakai di sini.</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13,47 %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sebagian menjelaskan mengapa angka agregat tidak dapat dipakai untuk menyimpulkan tren, meskipun TPR dan FPR tidak dijamin konstan antarbulan sehingga prevalensi bukan satu-satunya faktor.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faktor temporal: periode uji berasal dari waktu yang lebih akhir daripada periode latih, sehingga perbedaan kinerja antara periode awal dan akhir tidak dapat diatribusikan kepada waktu saja. Perbandingan lintas korpus PhiUSIIL–PhreshPhish membawa perancu tambahan yang berbeda sifatnya, yaitu pipeline dan vendor pengumpulan yang berbeda, dan perancu tersebut berlaku pada perbandingan lintas korpus itu, bukan pada perbandingan antarbulan di dalam PhreshPhish. Kedua jenis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antarkorpus tanpa adaptasi; dua arah diuji, PhiUSIIL→PhreshPhish dan PhreshPhish→PhiUSIIL. Tabel 7 memperlihatkan hasil seed 42. Referensi dalam-domain PhiUSIIL tetap mendekati plafon untuk kedua model, tetapi perilaku berubah tajam pada target.</w:t>
      </w:r>
    </w:p>
    <w:p>
      <w:pPr>
        <w:keepNext/>
        <w:keepLines/>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dua arah. Baris target tidak menggunakan fitting, kalibrasi, atau penyetelan ambang pada korpus target. Baris PhiUSIIL→PhreshPhish dievaluasi pada 168.035 baris uji temporal setelah penyaringan kanonik yang mengeluarkan 3 URL terlihat di latih dan 22 duplikat URL. Baris PhreshPhish→PhiUSIIL dievaluasi pada 235.370 baris PhiUSIIL, dan baris PhreshPhish dalam-sumber pada 168.060 baris blok uji sebelum rangkaian penyaringan kanonik yang sama diterapkan (eksperimen 9). Arah balik hanya memakai LightGBM, dan deduplikasi pada eksperimen 9 memakai string URL persis di dalam blok tanggal, bukan kunci URL kanonik yang dipakai eksperimen temporal dan ambang.</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PhreshPhish→PhiUSIIL zero-shot</w:t>
            </w:r>
          </w:p>
        </w:tc>
        <w:tc>
          <w:tcPr>
            <w:tcW w:type="dxa" w:w="1039"/>
            <w:vAlign w:val="center"/>
          </w:tcPr>
          <w:p>
            <w:pPr>
              <w:spacing w:after="0"/>
              <w:ind w:firstLine="0"/>
              <w:jc w:val="center"/>
            </w:pPr>
            <w:r>
              <w:rPr>
                <w:rFonts w:ascii="Times New Roman" w:hAnsi="Times New Roman" w:eastAsia="Times New Roman"/>
                <w:sz w:val="14"/>
              </w:rPr>
              <w:t>0,549564</w:t>
            </w:r>
          </w:p>
        </w:tc>
        <w:tc>
          <w:tcPr>
            <w:tcW w:type="dxa" w:w="1039"/>
            <w:vAlign w:val="center"/>
          </w:tcPr>
          <w:p>
            <w:pPr>
              <w:spacing w:after="0"/>
              <w:ind w:firstLine="0"/>
              <w:jc w:val="center"/>
            </w:pPr>
            <w:r>
              <w:rPr>
                <w:rFonts w:ascii="Times New Roman" w:hAnsi="Times New Roman" w:eastAsia="Times New Roman"/>
                <w:sz w:val="14"/>
              </w:rPr>
              <w:t>0,409503</w:t>
            </w:r>
          </w:p>
        </w:tc>
        <w:tc>
          <w:tcPr>
            <w:tcW w:type="dxa" w:w="1039"/>
            <w:vAlign w:val="center"/>
          </w:tcPr>
          <w:p>
            <w:pPr>
              <w:spacing w:after="0"/>
              <w:ind w:firstLine="0"/>
              <w:jc w:val="center"/>
            </w:pPr>
            <w:r>
              <w:rPr>
                <w:rFonts w:ascii="Times New Roman" w:hAnsi="Times New Roman" w:eastAsia="Times New Roman"/>
                <w:sz w:val="14"/>
              </w:rPr>
              <w:t>0,835237</w:t>
            </w:r>
          </w:p>
        </w:tc>
        <w:tc>
          <w:tcPr>
            <w:tcW w:type="dxa" w:w="1039"/>
            <w:vAlign w:val="center"/>
          </w:tcPr>
          <w:p>
            <w:pPr>
              <w:spacing w:after="0"/>
              <w:ind w:firstLine="0"/>
              <w:jc w:val="center"/>
            </w:pPr>
            <w:r>
              <w:rPr>
                <w:rFonts w:ascii="Times New Roman" w:hAnsi="Times New Roman" w:eastAsia="Times New Roman"/>
                <w:sz w:val="14"/>
              </w:rPr>
              <w:t>0,897783</w:t>
            </w:r>
          </w:p>
        </w:tc>
        <w:tc>
          <w:tcPr>
            <w:tcW w:type="dxa" w:w="1039"/>
            <w:vAlign w:val="center"/>
          </w:tcPr>
          <w:p>
            <w:pPr>
              <w:spacing w:after="0"/>
              <w:ind w:firstLine="0"/>
              <w:jc w:val="center"/>
            </w:pPr>
            <w:r>
              <w:rPr>
                <w:rFonts w:ascii="Times New Roman" w:hAnsi="Times New Roman" w:eastAsia="Times New Roman"/>
                <w:sz w:val="14"/>
              </w:rPr>
              <w:t>0,642939</w:t>
            </w:r>
          </w:p>
        </w:tc>
        <w:tc>
          <w:tcPr>
            <w:tcW w:type="dxa" w:w="1039"/>
            <w:vAlign w:val="center"/>
          </w:tcPr>
          <w:p>
            <w:pPr>
              <w:spacing w:after="0"/>
              <w:ind w:firstLine="0"/>
              <w:jc w:val="center"/>
            </w:pPr>
            <w:r>
              <w:rPr>
                <w:rFonts w:ascii="Times New Roman" w:hAnsi="Times New Roman" w:eastAsia="Times New Roman"/>
                <w:sz w:val="14"/>
              </w:rPr>
              <w:t>0,682202</w:t>
            </w:r>
          </w:p>
        </w:tc>
        <w:tc>
          <w:tcPr>
            <w:tcW w:type="dxa" w:w="1039"/>
            <w:vAlign w:val="center"/>
          </w:tcPr>
          <w:p>
            <w:pPr>
              <w:spacing w:after="0"/>
              <w:ind w:firstLine="0"/>
              <w:jc w:val="center"/>
            </w:pPr>
            <w:r>
              <w:rPr>
                <w:rFonts w:ascii="Times New Roman" w:hAnsi="Times New Roman" w:eastAsia="Times New Roman"/>
                <w:sz w:val="14"/>
              </w:rPr>
              <w:t>−0,092320</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 dalam-sumber</w:t>
            </w:r>
          </w:p>
        </w:tc>
        <w:tc>
          <w:tcPr>
            <w:tcW w:type="dxa" w:w="1039"/>
            <w:vAlign w:val="center"/>
          </w:tcPr>
          <w:p>
            <w:pPr>
              <w:spacing w:after="0"/>
              <w:ind w:firstLine="0"/>
              <w:jc w:val="center"/>
            </w:pPr>
            <w:r>
              <w:rPr>
                <w:rFonts w:ascii="Times New Roman" w:hAnsi="Times New Roman" w:eastAsia="Times New Roman"/>
                <w:sz w:val="14"/>
              </w:rPr>
              <w:t>0,805958</w:t>
            </w:r>
          </w:p>
        </w:tc>
        <w:tc>
          <w:tcPr>
            <w:tcW w:type="dxa" w:w="1039"/>
            <w:vAlign w:val="center"/>
          </w:tcPr>
          <w:p>
            <w:pPr>
              <w:spacing w:after="0"/>
              <w:ind w:firstLine="0"/>
              <w:jc w:val="center"/>
            </w:pPr>
            <w:r>
              <w:rPr>
                <w:rFonts w:ascii="Times New Roman" w:hAnsi="Times New Roman" w:eastAsia="Times New Roman"/>
                <w:sz w:val="14"/>
              </w:rPr>
              <w:t>0,889221</w:t>
            </w:r>
          </w:p>
        </w:tc>
        <w:tc>
          <w:tcPr>
            <w:tcW w:type="dxa" w:w="1039"/>
            <w:vAlign w:val="center"/>
          </w:tcPr>
          <w:p>
            <w:pPr>
              <w:spacing w:after="0"/>
              <w:ind w:firstLine="0"/>
              <w:jc w:val="center"/>
            </w:pPr>
            <w:r>
              <w:rPr>
                <w:rFonts w:ascii="Times New Roman" w:hAnsi="Times New Roman" w:eastAsia="Times New Roman"/>
                <w:sz w:val="14"/>
              </w:rPr>
              <w:t>0,736953</w:t>
            </w:r>
          </w:p>
        </w:tc>
        <w:tc>
          <w:tcPr>
            <w:tcW w:type="dxa" w:w="1039"/>
            <w:vAlign w:val="center"/>
          </w:tcPr>
          <w:p>
            <w:pPr>
              <w:spacing w:after="0"/>
              <w:ind w:firstLine="0"/>
              <w:jc w:val="center"/>
            </w:pPr>
            <w:r>
              <w:rPr>
                <w:rFonts w:ascii="Times New Roman" w:hAnsi="Times New Roman" w:eastAsia="Times New Roman"/>
                <w:sz w:val="14"/>
              </w:rPr>
              <w:t>0,077263</w:t>
            </w:r>
          </w:p>
        </w:tc>
        <w:tc>
          <w:tcPr>
            <w:tcW w:type="dxa" w:w="1039"/>
            <w:vAlign w:val="center"/>
          </w:tcPr>
          <w:p>
            <w:pPr>
              <w:spacing w:after="0"/>
              <w:ind w:firstLine="0"/>
              <w:jc w:val="center"/>
            </w:pPr>
            <w:r>
              <w:rPr>
                <w:rFonts w:ascii="Times New Roman" w:hAnsi="Times New Roman" w:eastAsia="Times New Roman"/>
                <w:sz w:val="14"/>
              </w:rPr>
              <w:t>0,909696</w:t>
            </w:r>
          </w:p>
        </w:tc>
        <w:tc>
          <w:tcPr>
            <w:tcW w:type="dxa" w:w="1039"/>
            <w:vAlign w:val="center"/>
          </w:tcPr>
          <w:p>
            <w:pPr>
              <w:spacing w:after="0"/>
              <w:ind w:firstLine="0"/>
              <w:jc w:val="center"/>
            </w:pPr>
            <w:r>
              <w:rPr>
                <w:rFonts w:ascii="Times New Roman" w:hAnsi="Times New Roman" w:eastAsia="Times New Roman"/>
                <w:sz w:val="14"/>
              </w:rPr>
              <w:t>0,913361</w:t>
            </w:r>
          </w:p>
        </w:tc>
        <w:tc>
          <w:tcPr>
            <w:tcW w:type="dxa" w:w="1039"/>
            <w:vAlign w:val="center"/>
          </w:tcPr>
          <w:p>
            <w:pPr>
              <w:spacing w:after="0"/>
              <w:ind w:firstLine="0"/>
              <w:jc w:val="center"/>
            </w:pPr>
            <w:r>
              <w:rPr>
                <w:rFonts w:ascii="Times New Roman" w:hAnsi="Times New Roman" w:eastAsia="Times New Roman"/>
                <w:sz w:val="14"/>
              </w:rPr>
              <w:t>0,677473</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ekstraktor dan himpunan fitur sama serta pipeline target benar-benar dibekukan.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spacing w:after="60"/>
        <w:ind w:firstLine="283"/>
        <w:jc w:val="both"/>
      </w:pPr>
      <w:r>
        <w:rPr>
          <w:rFonts w:ascii="Times New Roman" w:hAnsi="Times New Roman" w:eastAsia="Times New Roman"/>
          <w:sz w:val="19"/>
        </w:rPr>
        <w:t xml:space="preserve">Uji arah sebaliknya dijalankan pada eksperimen 9 dengan prinsip yang sama: representasi A2, model yang dibekukan, dan ambang 0,5 tanpa penyesuaian pada target. Model dilatih hanya pada blok fit PhreshPhish (372.380 baris, 2 Juli 2024 sampai 30 Juni 2025), lalu diterapkan pada 235.370 baris PhiUSIIL hasil pembersihan. Kinerjanya juga buruk: F1 0,549564, FPR benign 0,897783, MCC −0,092320, dan ROC-AUC 0,642939. ROC-AUC di atas 0,5 menunjukkan pola pengurutan skor yang berbeda dari arah maju, sedangkan FPR 0,897783 menunjukkan ketidaksesuaian titik operasi pada kohort target: pada ambang beku 0,5, 89,8 % URL benign PhiUSIIL ditandai phishing. Sebagai pembanding titik, pengklasifikasi yang selalu memprediksi phishing pada korpus ini memperoleh F1 0,598529, sehingga F1 transfer terbalik pada ambang 0,5 berada di bawah baseline tersebut; perbandingan ini tidak berlaku untuk semua metrik atau semua ambang. Hasil ini tidak memisahkan kontribusi perubahan diskriminasi dari ketidaksesuaian kalibrasi, dan tidak menetapkan penyebab kegagalan transfer maupun menjamin bahwa kalibrasi ulang akan memulihkannya. Tumpang tindih URL persis antara blok latih dan target hanya 137 baris (0,058 %), sedangkan tumpang tindih registrable domain mencapai 21,6 % baris target; angka terakhir membatasi interpretasi dan tidak menyelamatkan kinerja. Interval bootstrap domain untuk arah balik tersedia pada artefak eksperimen 9 (F1 [0,512634; 0,586764], FPR [0,895279; 0,900180], MCC [−0,137850; −0,042795]; 1.000 replikasi, RNG seed 42, 175.509 domain). Eksperimen ini bukan evaluasi temporal karena PhiUSIIL tidak memiliki penanda waktu. Blok latih eksperimen ini berisi 372.380 baris, berbeda 167 baris dari 372.213 pada eksperimen ambang; rekonsiliasi menunjukkan selisih itu persis sama dengan jumlah duplikat URL kanonik di dalam jendela fit, karena eksperimen 9 melakukan deduplikasi pada string URL persis sedangkan jalur kanonik memakai kunci URL kanonik.</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(Gambar 2b).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0,000162</w:t>
            </w:r>
          </w:p>
        </w:tc>
        <w:tc>
          <w:tcPr>
            <w:tcW w:type="dxa" w:w="3118"/>
          </w:tcPr>
          <w:p>
            <w:pPr>
              <w:jc w:val="left"/>
            </w:pPr>
            <w:r>
              <w:rPr>
                <w:rFonts w:ascii="Times New Roman" w:hAnsi="Times New Roman"/>
                <w:sz w:val="14"/>
              </w:rPr>
              <w:t>summary.csv (eksperimen 5): 0,999855755 − 0,999693299</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summary.csv (eksperimen 5): 0,996364752 − 0,995186381</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 (run 20261022T170935017991Z, run kanonik)</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 (run 20261022T170935017991Z, run kanonik)</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 (8.035); README.md eksperimen 8 (rincian pages.dev 7.341)</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AUC tunggal tiga kolom sumber: URLSimilarityIndex (dibuang); LineOfCode dan NoOfExternalRef (dipertahankan dalam A0)</w:t>
            </w:r>
          </w:p>
        </w:tc>
        <w:tc>
          <w:tcPr>
            <w:tcW w:type="dxa" w:w="3118"/>
          </w:tcPr>
          <w:p>
            <w:pPr>
              <w:jc w:val="left"/>
            </w:pPr>
            <w:r>
              <w:rPr>
                <w:rFonts w:ascii="Times New Roman" w:hAnsi="Times New Roman"/>
                <w:sz w:val="14"/>
              </w:rPr>
              <w:t>0,9961; 0,9903; 0,9880</w:t>
            </w:r>
          </w:p>
        </w:tc>
        <w:tc>
          <w:tcPr>
            <w:tcW w:type="dxa" w:w="3118"/>
          </w:tcPr>
          <w:p>
            <w:pPr>
              <w:jc w:val="left"/>
            </w:pPr>
            <w:r>
              <w:rPr>
                <w:rFonts w:ascii="Times New Roman" w:hAnsi="Times New Roman"/>
                <w:sz w:val="14"/>
              </w:rPr>
              <w:t>phiusiil_leakage_audit.md</w:t>
            </w:r>
          </w:p>
        </w:tc>
      </w:tr>
      <w:tr>
        <w:tc>
          <w:tcPr>
            <w:tcW w:type="dxa" w:w="3118"/>
          </w:tcPr>
          <w:p>
            <w:pPr>
              <w:jc w:val="left"/>
            </w:pPr>
            <w:r>
              <w:rPr>
                <w:rFonts w:ascii="Times New Roman" w:hAnsi="Times New Roman"/>
                <w:sz w:val="14"/>
              </w:rPr>
              <w:t>Rerata lima seed F1 temporal A2/LightGBM (seluruh 168.035 baris uji)</w:t>
            </w:r>
          </w:p>
        </w:tc>
        <w:tc>
          <w:tcPr>
            <w:tcW w:type="dxa" w:w="3118"/>
          </w:tcPr>
          <w:p>
            <w:pPr>
              <w:jc w:val="left"/>
            </w:pPr>
            <w:r>
              <w:rPr>
                <w:rFonts w:ascii="Times New Roman" w:hAnsi="Times New Roman"/>
                <w:sz w:val="14"/>
              </w:rPr>
              <w:t>0,800461</w:t>
            </w:r>
          </w:p>
        </w:tc>
        <w:tc>
          <w:tcPr>
            <w:tcW w:type="dxa" w:w="3118"/>
          </w:tcPr>
          <w:p>
            <w:pPr>
              <w:jc w:val="left"/>
            </w:pPr>
            <w:r>
              <w:rPr>
                <w:rFonts w:ascii="Times New Roman" w:hAnsi="Times New Roman"/>
                <w:sz w:val="14"/>
              </w:rPr>
              <w:t>summary.csv (eksperimen 5), protokol temporal; simpangan baku 0,001184</w:t>
            </w:r>
          </w:p>
        </w:tc>
      </w:tr>
      <w:tr>
        <w:tc>
          <w:tcPr>
            <w:tcW w:type="dxa" w:w="3118"/>
          </w:tcPr>
          <w:p>
            <w:pPr>
              <w:jc w:val="left"/>
            </w:pPr>
            <w:r>
              <w:rPr>
                <w:rFonts w:ascii="Times New Roman" w:hAnsi="Times New Roman"/>
                <w:sz w:val="14"/>
              </w:rPr>
              <w:t>Rerata lima seed F1 temporal A2/XGBoost (seluruh 168.035 baris uji)</w:t>
            </w:r>
          </w:p>
        </w:tc>
        <w:tc>
          <w:tcPr>
            <w:tcW w:type="dxa" w:w="3118"/>
          </w:tcPr>
          <w:p>
            <w:pPr>
              <w:jc w:val="left"/>
            </w:pPr>
            <w:r>
              <w:rPr>
                <w:rFonts w:ascii="Times New Roman" w:hAnsi="Times New Roman"/>
                <w:sz w:val="14"/>
              </w:rPr>
              <w:t>0,799629</w:t>
            </w:r>
          </w:p>
        </w:tc>
        <w:tc>
          <w:tcPr>
            <w:tcW w:type="dxa" w:w="3118"/>
          </w:tcPr>
          <w:p>
            <w:pPr>
              <w:jc w:val="left"/>
            </w:pPr>
            <w:r>
              <w:rPr>
                <w:rFonts w:ascii="Times New Roman" w:hAnsi="Times New Roman"/>
                <w:sz w:val="14"/>
              </w:rPr>
              <w:t>summary.csv (eksperimen 5), protokol temporal; simpangan baku 0 (prosedur histogram deterministik)</w:t>
            </w:r>
          </w:p>
        </w:tc>
      </w:tr>
      <w:tr>
        <w:tc>
          <w:tcPr>
            <w:tcW w:type="dxa" w:w="3118"/>
          </w:tcPr>
          <w:p>
            <w:pPr>
              <w:jc w:val="left"/>
            </w:pPr>
            <w:r>
              <w:rPr>
                <w:rFonts w:ascii="Times New Roman" w:hAnsi="Times New Roman"/>
                <w:sz w:val="14"/>
              </w:rPr>
              <w:t>Aturan FPR validasi &lt;= 1 %: FPR uji, recall uji, ambang terpilih</w:t>
            </w:r>
          </w:p>
        </w:tc>
        <w:tc>
          <w:tcPr>
            <w:tcW w:type="dxa" w:w="3118"/>
          </w:tcPr>
          <w:p>
            <w:pPr>
              <w:jc w:val="left"/>
            </w:pPr>
            <w:r>
              <w:rPr>
                <w:rFonts w:ascii="Times New Roman" w:hAnsi="Times New Roman"/>
                <w:sz w:val="14"/>
              </w:rPr>
              <w:t>1,1352 %; 0,5440; 0,884705</w:t>
            </w:r>
          </w:p>
        </w:tc>
        <w:tc>
          <w:tcPr>
            <w:tcW w:type="dxa" w:w="3118"/>
          </w:tcPr>
          <w:p>
            <w:pPr>
              <w:jc w:val="left"/>
            </w:pPr>
            <w:r>
              <w:rPr>
                <w:rFonts w:ascii="Times New Roman" w:hAnsi="Times New Roman"/>
                <w:sz w:val="14"/>
              </w:rPr>
              <w:t>test_metrics_primary_seed.csv (eksperimen 7, seed 13)</w:t>
            </w:r>
          </w:p>
        </w:tc>
      </w:tr>
      <w:tr>
        <w:tc>
          <w:tcPr>
            <w:tcW w:type="dxa" w:w="3118"/>
          </w:tcPr>
          <w:p>
            <w:pPr>
              <w:jc w:val="left"/>
            </w:pPr>
            <w:r>
              <w:rPr>
                <w:rFonts w:ascii="Times New Roman" w:hAnsi="Times New Roman"/>
                <w:sz w:val="14"/>
              </w:rPr>
              <w:t>Aturan ambang 0,5: FPR uji dan recall uji</w:t>
            </w:r>
          </w:p>
        </w:tc>
        <w:tc>
          <w:tcPr>
            <w:tcW w:type="dxa" w:w="3118"/>
          </w:tcPr>
          <w:p>
            <w:pPr>
              <w:jc w:val="left"/>
            </w:pPr>
            <w:r>
              <w:rPr>
                <w:rFonts w:ascii="Times New Roman" w:hAnsi="Times New Roman"/>
                <w:sz w:val="14"/>
              </w:rPr>
              <w:t>7,6497 %; 0,7380</w:t>
            </w:r>
          </w:p>
        </w:tc>
        <w:tc>
          <w:tcPr>
            <w:tcW w:type="dxa" w:w="3118"/>
          </w:tcPr>
          <w:p>
            <w:pPr>
              <w:jc w:val="left"/>
            </w:pPr>
            <w:r>
              <w:rPr>
                <w:rFonts w:ascii="Times New Roman" w:hAnsi="Times New Roman"/>
                <w:sz w:val="14"/>
              </w:rPr>
              <w:t>test_metrics_primary_seed.csv (eksperimen 7, seed 13)</w:t>
            </w:r>
          </w:p>
        </w:tc>
      </w:tr>
      <w:tr>
        <w:tc>
          <w:tcPr>
            <w:tcW w:type="dxa" w:w="3118"/>
          </w:tcPr>
          <w:p>
            <w:pPr>
              <w:jc w:val="left"/>
            </w:pPr>
            <w:r>
              <w:rPr>
                <w:rFonts w:ascii="Times New Roman" w:hAnsi="Times New Roman"/>
                <w:sz w:val="14"/>
              </w:rPr>
              <w:t>FPR pada URL benign dengan panjang &lt;= 30 karakter</w:t>
            </w:r>
          </w:p>
        </w:tc>
        <w:tc>
          <w:tcPr>
            <w:tcW w:type="dxa" w:w="3118"/>
          </w:tcPr>
          <w:p>
            <w:pPr>
              <w:jc w:val="left"/>
            </w:pPr>
            <w:r>
              <w:rPr>
                <w:rFonts w:ascii="Times New Roman" w:hAnsi="Times New Roman"/>
                <w:sz w:val="14"/>
              </w:rPr>
              <w:t>21,8 %</w:t>
            </w:r>
          </w:p>
        </w:tc>
        <w:tc>
          <w:tcPr>
            <w:tcW w:type="dxa" w:w="3118"/>
          </w:tcPr>
          <w:p>
            <w:pPr>
              <w:jc w:val="left"/>
            </w:pPr>
            <w:r>
              <w:rPr>
                <w:rFonts w:ascii="Times New Roman" w:hAnsi="Times New Roman"/>
                <w:sz w:val="14"/>
              </w:rPr>
              <w:t>category_error_table.csv (eksperimen 8), kategori url_length_band &lt;=30</w:t>
            </w:r>
          </w:p>
        </w:tc>
      </w:tr>
      <w:tr>
        <w:tc>
          <w:tcPr>
            <w:tcW w:type="dxa" w:w="3118"/>
          </w:tcPr>
          <w:p>
            <w:pPr>
              <w:jc w:val="left"/>
            </w:pPr>
            <w:r>
              <w:rPr>
                <w:rFonts w:ascii="Times New Roman" w:hAnsi="Times New Roman"/>
                <w:sz w:val="14"/>
              </w:rPr>
              <w:t>Registrable domain unik dan baris ber-alamat IP pada PhiUSIIL</w:t>
            </w:r>
          </w:p>
        </w:tc>
        <w:tc>
          <w:tcPr>
            <w:tcW w:type="dxa" w:w="3118"/>
          </w:tcPr>
          <w:p>
            <w:pPr>
              <w:jc w:val="left"/>
            </w:pPr>
            <w:r>
              <w:rPr>
                <w:rFonts w:ascii="Times New Roman" w:hAnsi="Times New Roman"/>
                <w:sz w:val="14"/>
              </w:rPr>
              <w:t>175.509; 636</w:t>
            </w:r>
          </w:p>
        </w:tc>
        <w:tc>
          <w:tcPr>
            <w:tcW w:type="dxa" w:w="3118"/>
          </w:tcPr>
          <w:p>
            <w:pPr>
              <w:jc w:val="left"/>
            </w:pPr>
            <w:r>
              <w:rPr>
                <w:rFonts w:ascii="Times New Roman" w:hAnsi="Times New Roman"/>
                <w:sz w:val="14"/>
              </w:rPr>
              <w:t>phiusiil_leakage_audit.md</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sekitar 0,988 atau lebih,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Ablasi kelompok fitur konten menunjukkan penurunan F1 terukur dengan interval bootstrap F1 berpasangan yang tidak memuat nol untuk LightGBM maupun XGBoost; besar efeknya sekitar seperseribu F1. Pada rata-rata partisi uji 44.213,6 baris, jumlah kesalahan A0→A1 meningkat dari 12,8 menjadi 32,2 pada LightGBM dan dari 10,4 menjadi 39,0 pada XGBoost. Perbandingan ini menunjukkan perbedaan antara keterdeteksian statistik dan besar efek. Skor A0 mendekati satu pada benchmark ini, tetapi kontras kelompok tersebut tidak mengidentifikasi mengapa benchmark tersaturasi.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dua arah transfer (PhiUSIIL→PhreshPhish dan PhreshPhish→PhiUSIIL),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sekitar 0,988 atau lebih.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sepanjang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 dana eksternal; penelitian didanai mandiri oleh para penulis.</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dan diarsipkan dengan DOI konsep 10.5281/zenodo.23847784, dengan MANIFEST.sha256 untuk verifikasi independen; DOI konsep tersebut selalu menunjuk rilis terbaru. Artefak yang dikecualikan tidak dihasilkan oleh satu skrip tunggal, dan pemetaan berikut menyebut artefak yang benar-benar tersedia. Pembersihan dan pembagian PhiUSIIL disiapkan oleh notebook tahap awal, dengan split_random.csv dan split_sitedisjoint.csv sebagai manifest ID-fold yang menjadi masukan setiap arm. Benchmark A0/A1/A2 dan ablasi dibangkitkan oleh paired_bootstrap_E4/src/run_experiment.py dan diringkas oleh paired_bootstrap_E4/src/summarize.py; nama folder historis E4 tidak berarti notebook E3 menghasilkan benchmark final, dan notebook 03_evaluation_pipeline_v2_run_complete.ipynb memakai keluarga fitur serta konvensi label yang berbeda sehingga tidak dipakai untuk metrik positif-phishing. Evaluasi temporal memakai temporal_scripts/run_temporal.py untuk jalur kanonik, sedangkan interval yang dikutip Tabel 6 berasal dari paired_bootstrap_E4/bootstrap_temporal.csv. Transfer maju dijalankan oleh Exp6_Cross_Corpus/transfer.executed.ipynb; evaluasi ambang oleh Exp7_Operational_Threshold/01_operational_thresholds.executed.ipynb dengan paket src eksperimen 7; taksonomi galat oleh Exp8_Error_Taxonomy/error_taxonomy.executed.ipynb; dan transfer balik oleh Exp9_reverse_transfer/reverse_transfer.ipynb. Kedua manifest split memuat 1.176.850 baris, yaitu lima seed kali 235.370 URL; yang tidak dibundel adalah data mentah, biner model, dan prediksi per baris, bukan manifest ID-fold. Snapshot arsip yang dirujuk adalah DOI versi 10.5281/zenodo.23860185 di bawah DOI konsep 10.5281/zenodo.23847784.</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Keanggotaan split resmi train/test dipakai sebagai kerangka, bukan dibentuk ulang, tetapi blok temporal tetap melewati penyaringan: 681 baris latih pada atau setelah cutoff dikeluarkan sebelum blok fit dibentuk.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Untuk PhreshPhish, nilai sumber berupa string benign/phish dan dipetakan ke 0/1; pipeline temporal dan ambang menolak nilai di luar himpunan itu. PhiUSIIL memakai pengodean numerik sumber 1 = legitim dan 0 = phishing, lalu dipetakan menjadi phishing = 1 pada analisis. Eksperimen 9 hanya membandingkan label PhreshPhish dengan string phish dan mencetak domain label, tanpa penolakan eksplisit; keluarannya hanya benign dan phish.</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Dua salinan dipakai pada eksperimen berbeda. Eksperimen 7 memakai src/features.py dengan SHA-256 c98b119c72c77df225bd21b7f803c367b71a934630622b3349ddecf349dc5864; eksperimen 5 dan 9 memakai salinan dengan SHA-256 81822b4fac8b50cdf93371651e3c94680628ef189d64c32429ec15cc51cd48e6. Keduanya dihitung deterministik per URL tanpa fitur halaman. Kesetaraan nilai fitur antar kedua salinan tidak diperiksa pada artikel ini; yang dinyatakan adalah kontrak 18 fitur dan urutan yang sama.</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Metadata run mencatat 16 CPU logis, konfigurasi n_jobs = -1, dan identifikasi CPU generik; jumlah thread efektif, RAM, dan kondisi beban sistem tidak dicatat. Angka waktu karena itu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16</Pages>
  <Words>10844</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