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95D6" w14:textId="10878607" w:rsidR="00DF3656" w:rsidRPr="002E1F08" w:rsidRDefault="00DF3656">
      <w:pPr>
        <w:rPr>
          <w:rFonts w:asciiTheme="majorHAnsi" w:hAnsiTheme="majorHAnsi"/>
          <w:b/>
          <w:bCs/>
          <w:sz w:val="28"/>
          <w:szCs w:val="28"/>
        </w:rPr>
      </w:pPr>
      <w:r w:rsidRPr="002E1F08">
        <w:rPr>
          <w:rFonts w:asciiTheme="majorHAnsi" w:hAnsiTheme="majorHAnsi"/>
          <w:b/>
          <w:bCs/>
          <w:sz w:val="28"/>
          <w:szCs w:val="28"/>
        </w:rPr>
        <w:t>Descriptive analysis of NHS 62-day referral</w:t>
      </w:r>
      <w:r w:rsidR="00EE062C" w:rsidRPr="002E1F08">
        <w:rPr>
          <w:rFonts w:asciiTheme="majorHAnsi" w:hAnsiTheme="majorHAnsi"/>
          <w:b/>
          <w:bCs/>
          <w:sz w:val="28"/>
          <w:szCs w:val="28"/>
        </w:rPr>
        <w:t xml:space="preserve"> confirmed cancer </w:t>
      </w:r>
      <w:r w:rsidR="00A52458" w:rsidRPr="002E1F08">
        <w:rPr>
          <w:rFonts w:asciiTheme="majorHAnsi" w:hAnsiTheme="majorHAnsi"/>
          <w:b/>
          <w:bCs/>
          <w:sz w:val="28"/>
          <w:szCs w:val="28"/>
        </w:rPr>
        <w:t>patients’</w:t>
      </w:r>
      <w:r w:rsidRPr="002E1F08">
        <w:rPr>
          <w:rFonts w:asciiTheme="majorHAnsi" w:hAnsiTheme="majorHAnsi"/>
          <w:b/>
          <w:bCs/>
          <w:sz w:val="28"/>
          <w:szCs w:val="28"/>
        </w:rPr>
        <w:t xml:space="preserve"> performance across 18 London trusts</w:t>
      </w:r>
      <w:r w:rsidR="00EE062C" w:rsidRPr="002E1F08">
        <w:rPr>
          <w:rFonts w:asciiTheme="majorHAnsi" w:hAnsiTheme="majorHAnsi"/>
          <w:b/>
          <w:bCs/>
          <w:sz w:val="28"/>
          <w:szCs w:val="28"/>
        </w:rPr>
        <w:t xml:space="preserve"> between 2022-2025</w:t>
      </w:r>
    </w:p>
    <w:p w14:paraId="3EE75DA4" w14:textId="77777777" w:rsidR="002E1F08" w:rsidRDefault="002E1F08">
      <w:pPr>
        <w:rPr>
          <w:rFonts w:ascii="Helvetica" w:hAnsi="Helvetica"/>
          <w:b/>
          <w:bCs/>
          <w:sz w:val="28"/>
          <w:szCs w:val="28"/>
        </w:rPr>
      </w:pPr>
    </w:p>
    <w:p w14:paraId="26AA2352" w14:textId="4E8EFE2B" w:rsidR="002E1F08" w:rsidRPr="002E1F08" w:rsidRDefault="002E1F08" w:rsidP="002E1F08">
      <w:pPr>
        <w:pStyle w:val="ListParagraph"/>
        <w:numPr>
          <w:ilvl w:val="0"/>
          <w:numId w:val="7"/>
        </w:numPr>
        <w:rPr>
          <w:b/>
          <w:bCs/>
          <w:sz w:val="28"/>
          <w:szCs w:val="28"/>
        </w:rPr>
      </w:pPr>
      <w:r w:rsidRPr="002E1F08">
        <w:rPr>
          <w:b/>
          <w:bCs/>
          <w:sz w:val="28"/>
          <w:szCs w:val="28"/>
        </w:rPr>
        <w:t>Background – Page 2</w:t>
      </w:r>
    </w:p>
    <w:p w14:paraId="0C4C2C51" w14:textId="77777777" w:rsidR="002E1F08" w:rsidRPr="002E1F08" w:rsidRDefault="002E1F08" w:rsidP="002E1F08">
      <w:pPr>
        <w:pStyle w:val="ListParagraph"/>
        <w:rPr>
          <w:b/>
          <w:bCs/>
          <w:sz w:val="28"/>
          <w:szCs w:val="28"/>
        </w:rPr>
      </w:pPr>
    </w:p>
    <w:p w14:paraId="2FDDF7F8" w14:textId="7CA534ED" w:rsidR="002E1F08" w:rsidRPr="002E1F08" w:rsidRDefault="002E1F08" w:rsidP="002E1F08">
      <w:pPr>
        <w:pStyle w:val="ListParagraph"/>
        <w:numPr>
          <w:ilvl w:val="0"/>
          <w:numId w:val="7"/>
        </w:numPr>
        <w:rPr>
          <w:b/>
          <w:bCs/>
          <w:sz w:val="28"/>
          <w:szCs w:val="28"/>
        </w:rPr>
      </w:pPr>
      <w:r w:rsidRPr="002E1F08">
        <w:rPr>
          <w:b/>
          <w:bCs/>
          <w:sz w:val="28"/>
          <w:szCs w:val="28"/>
        </w:rPr>
        <w:t>Objectives – Page 3</w:t>
      </w:r>
    </w:p>
    <w:p w14:paraId="15D88E76" w14:textId="77777777" w:rsidR="002E1F08" w:rsidRPr="002E1F08" w:rsidRDefault="002E1F08" w:rsidP="002E1F08">
      <w:pPr>
        <w:pStyle w:val="ListParagraph"/>
        <w:rPr>
          <w:b/>
          <w:bCs/>
          <w:sz w:val="28"/>
          <w:szCs w:val="28"/>
        </w:rPr>
      </w:pPr>
    </w:p>
    <w:p w14:paraId="7B7A0626" w14:textId="195D918F" w:rsidR="002E1F08" w:rsidRPr="002E1F08" w:rsidRDefault="002E1F08" w:rsidP="002E1F08">
      <w:pPr>
        <w:pStyle w:val="ListParagraph"/>
        <w:numPr>
          <w:ilvl w:val="0"/>
          <w:numId w:val="7"/>
        </w:numPr>
        <w:rPr>
          <w:b/>
          <w:bCs/>
          <w:sz w:val="28"/>
          <w:szCs w:val="28"/>
        </w:rPr>
      </w:pPr>
      <w:r w:rsidRPr="002E1F08">
        <w:rPr>
          <w:b/>
          <w:bCs/>
          <w:sz w:val="28"/>
          <w:szCs w:val="28"/>
        </w:rPr>
        <w:t>Methodology – Page 3</w:t>
      </w:r>
    </w:p>
    <w:p w14:paraId="5B763436" w14:textId="77777777" w:rsidR="002E1F08" w:rsidRPr="002E1F08" w:rsidRDefault="002E1F08" w:rsidP="002E1F08">
      <w:pPr>
        <w:pStyle w:val="ListParagraph"/>
        <w:rPr>
          <w:b/>
          <w:bCs/>
          <w:sz w:val="28"/>
          <w:szCs w:val="28"/>
        </w:rPr>
      </w:pPr>
    </w:p>
    <w:p w14:paraId="113F6550" w14:textId="7991B701" w:rsidR="002E1F08" w:rsidRPr="002E1F08" w:rsidRDefault="002E1F08" w:rsidP="002E1F08">
      <w:pPr>
        <w:pStyle w:val="ListParagraph"/>
        <w:numPr>
          <w:ilvl w:val="0"/>
          <w:numId w:val="7"/>
        </w:numPr>
        <w:rPr>
          <w:b/>
          <w:bCs/>
          <w:sz w:val="28"/>
          <w:szCs w:val="28"/>
        </w:rPr>
      </w:pPr>
      <w:r w:rsidRPr="002E1F08">
        <w:rPr>
          <w:b/>
          <w:bCs/>
          <w:sz w:val="28"/>
          <w:szCs w:val="28"/>
        </w:rPr>
        <w:t>Results – Page 3</w:t>
      </w:r>
    </w:p>
    <w:p w14:paraId="2AFB9993" w14:textId="77777777" w:rsidR="002E1F08" w:rsidRPr="002E1F08" w:rsidRDefault="002E1F08" w:rsidP="002E1F08">
      <w:pPr>
        <w:pStyle w:val="ListParagraph"/>
        <w:rPr>
          <w:b/>
          <w:bCs/>
          <w:sz w:val="28"/>
          <w:szCs w:val="28"/>
        </w:rPr>
      </w:pPr>
    </w:p>
    <w:p w14:paraId="6B9DC265" w14:textId="62ADB1EA" w:rsidR="002E1F08" w:rsidRPr="002E1F08" w:rsidRDefault="002E1F08" w:rsidP="002E1F08">
      <w:pPr>
        <w:pStyle w:val="ListParagraph"/>
        <w:numPr>
          <w:ilvl w:val="0"/>
          <w:numId w:val="7"/>
        </w:numPr>
        <w:rPr>
          <w:b/>
          <w:bCs/>
          <w:sz w:val="28"/>
          <w:szCs w:val="28"/>
        </w:rPr>
      </w:pPr>
      <w:r w:rsidRPr="002E1F08">
        <w:rPr>
          <w:b/>
          <w:bCs/>
          <w:sz w:val="28"/>
          <w:szCs w:val="28"/>
        </w:rPr>
        <w:t>Dashboard and Visualisation – Page 6</w:t>
      </w:r>
    </w:p>
    <w:p w14:paraId="64249CBC" w14:textId="77777777" w:rsidR="002E1F08" w:rsidRPr="002E1F08" w:rsidRDefault="002E1F08" w:rsidP="002E1F08">
      <w:pPr>
        <w:pStyle w:val="ListParagraph"/>
        <w:rPr>
          <w:b/>
          <w:bCs/>
          <w:sz w:val="28"/>
          <w:szCs w:val="28"/>
        </w:rPr>
      </w:pPr>
    </w:p>
    <w:p w14:paraId="2295BC31" w14:textId="18C26E84" w:rsidR="002E1F08" w:rsidRPr="002E1F08" w:rsidRDefault="002E1F08" w:rsidP="002E1F08">
      <w:pPr>
        <w:pStyle w:val="ListParagraph"/>
        <w:numPr>
          <w:ilvl w:val="0"/>
          <w:numId w:val="7"/>
        </w:numPr>
        <w:rPr>
          <w:b/>
          <w:bCs/>
          <w:sz w:val="28"/>
          <w:szCs w:val="28"/>
        </w:rPr>
      </w:pPr>
      <w:r w:rsidRPr="002E1F08">
        <w:rPr>
          <w:b/>
          <w:bCs/>
          <w:sz w:val="28"/>
          <w:szCs w:val="28"/>
        </w:rPr>
        <w:t xml:space="preserve">Key Findings – Page </w:t>
      </w:r>
      <w:r w:rsidR="003153CB">
        <w:rPr>
          <w:b/>
          <w:bCs/>
          <w:sz w:val="28"/>
          <w:szCs w:val="28"/>
        </w:rPr>
        <w:t>6</w:t>
      </w:r>
    </w:p>
    <w:p w14:paraId="713BEA3B" w14:textId="77777777" w:rsidR="002E1F08" w:rsidRPr="002E1F08" w:rsidRDefault="002E1F08" w:rsidP="002E1F08">
      <w:pPr>
        <w:pStyle w:val="ListParagraph"/>
        <w:rPr>
          <w:b/>
          <w:bCs/>
          <w:sz w:val="28"/>
          <w:szCs w:val="28"/>
        </w:rPr>
      </w:pPr>
    </w:p>
    <w:p w14:paraId="76CA5E1C" w14:textId="60A615A4" w:rsidR="002E1F08" w:rsidRPr="002E1F08" w:rsidRDefault="002E1F08" w:rsidP="002E1F08">
      <w:pPr>
        <w:pStyle w:val="ListParagraph"/>
        <w:numPr>
          <w:ilvl w:val="0"/>
          <w:numId w:val="7"/>
        </w:numPr>
        <w:rPr>
          <w:b/>
          <w:bCs/>
          <w:sz w:val="28"/>
          <w:szCs w:val="28"/>
        </w:rPr>
      </w:pPr>
      <w:r w:rsidRPr="002E1F08">
        <w:rPr>
          <w:b/>
          <w:bCs/>
          <w:sz w:val="28"/>
          <w:szCs w:val="28"/>
        </w:rPr>
        <w:t xml:space="preserve">Conclusion - Page 7 </w:t>
      </w:r>
    </w:p>
    <w:p w14:paraId="54BD8344" w14:textId="77777777" w:rsidR="002E1F08" w:rsidRDefault="002E1F08">
      <w:pPr>
        <w:rPr>
          <w:rFonts w:ascii="Helvetica" w:hAnsi="Helvetica"/>
          <w:b/>
          <w:bCs/>
          <w:sz w:val="28"/>
          <w:szCs w:val="28"/>
        </w:rPr>
      </w:pPr>
    </w:p>
    <w:p w14:paraId="0DE3BEA5" w14:textId="77777777" w:rsidR="002E1F08" w:rsidRDefault="002E1F08">
      <w:pPr>
        <w:rPr>
          <w:rFonts w:ascii="Helvetica" w:hAnsi="Helvetica"/>
          <w:b/>
          <w:bCs/>
          <w:sz w:val="28"/>
          <w:szCs w:val="28"/>
        </w:rPr>
      </w:pPr>
    </w:p>
    <w:p w14:paraId="5449F269" w14:textId="77777777" w:rsidR="002E1F08" w:rsidRDefault="002E1F08">
      <w:pPr>
        <w:rPr>
          <w:rFonts w:ascii="Helvetica" w:hAnsi="Helvetica"/>
          <w:b/>
          <w:bCs/>
          <w:sz w:val="28"/>
          <w:szCs w:val="28"/>
        </w:rPr>
      </w:pPr>
    </w:p>
    <w:p w14:paraId="08D89C4A" w14:textId="77777777" w:rsidR="002E1F08" w:rsidRDefault="002E1F08">
      <w:pPr>
        <w:rPr>
          <w:rFonts w:ascii="Helvetica" w:hAnsi="Helvetica"/>
          <w:b/>
          <w:bCs/>
          <w:sz w:val="28"/>
          <w:szCs w:val="28"/>
        </w:rPr>
      </w:pPr>
    </w:p>
    <w:p w14:paraId="3ABD4752" w14:textId="77777777" w:rsidR="002E1F08" w:rsidRDefault="002E1F08">
      <w:pPr>
        <w:rPr>
          <w:rFonts w:ascii="Helvetica" w:hAnsi="Helvetica"/>
          <w:b/>
          <w:bCs/>
          <w:sz w:val="28"/>
          <w:szCs w:val="28"/>
        </w:rPr>
      </w:pPr>
    </w:p>
    <w:p w14:paraId="0260F519" w14:textId="77777777" w:rsidR="002E1F08" w:rsidRDefault="002E1F08">
      <w:pPr>
        <w:rPr>
          <w:rFonts w:ascii="Helvetica" w:hAnsi="Helvetica"/>
          <w:b/>
          <w:bCs/>
          <w:sz w:val="28"/>
          <w:szCs w:val="28"/>
        </w:rPr>
      </w:pPr>
    </w:p>
    <w:p w14:paraId="1D7C5879" w14:textId="77777777" w:rsidR="002E1F08" w:rsidRDefault="002E1F08">
      <w:pPr>
        <w:rPr>
          <w:rFonts w:ascii="Helvetica" w:hAnsi="Helvetica"/>
          <w:b/>
          <w:bCs/>
          <w:sz w:val="28"/>
          <w:szCs w:val="28"/>
        </w:rPr>
      </w:pPr>
    </w:p>
    <w:p w14:paraId="26E671B6" w14:textId="77777777" w:rsidR="002E1F08" w:rsidRDefault="002E1F08">
      <w:pPr>
        <w:rPr>
          <w:rFonts w:ascii="Helvetica" w:hAnsi="Helvetica"/>
          <w:b/>
          <w:bCs/>
          <w:sz w:val="28"/>
          <w:szCs w:val="28"/>
        </w:rPr>
      </w:pPr>
    </w:p>
    <w:p w14:paraId="64D5118D" w14:textId="77777777" w:rsidR="002E1F08" w:rsidRDefault="002E1F08">
      <w:pPr>
        <w:rPr>
          <w:rFonts w:ascii="Helvetica" w:hAnsi="Helvetica"/>
          <w:b/>
          <w:bCs/>
          <w:sz w:val="28"/>
          <w:szCs w:val="28"/>
        </w:rPr>
      </w:pPr>
    </w:p>
    <w:p w14:paraId="2B07ADE6" w14:textId="77777777" w:rsidR="002E1F08" w:rsidRDefault="002E1F08">
      <w:pPr>
        <w:rPr>
          <w:rFonts w:ascii="Helvetica" w:hAnsi="Helvetica"/>
          <w:b/>
          <w:bCs/>
          <w:sz w:val="28"/>
          <w:szCs w:val="28"/>
        </w:rPr>
      </w:pPr>
    </w:p>
    <w:p w14:paraId="04801F7E" w14:textId="77777777" w:rsidR="002E1F08" w:rsidRDefault="002E1F08">
      <w:pPr>
        <w:rPr>
          <w:rFonts w:ascii="Helvetica" w:hAnsi="Helvetica"/>
          <w:b/>
          <w:bCs/>
          <w:sz w:val="28"/>
          <w:szCs w:val="28"/>
        </w:rPr>
      </w:pPr>
    </w:p>
    <w:p w14:paraId="02F51619" w14:textId="77777777" w:rsidR="002E1F08" w:rsidRDefault="002E1F08">
      <w:pPr>
        <w:rPr>
          <w:rFonts w:ascii="Helvetica" w:hAnsi="Helvetica"/>
          <w:b/>
          <w:bCs/>
          <w:sz w:val="28"/>
          <w:szCs w:val="28"/>
        </w:rPr>
      </w:pPr>
    </w:p>
    <w:p w14:paraId="6DFF567B" w14:textId="77777777" w:rsidR="002E1F08" w:rsidRPr="00AE0780" w:rsidRDefault="002E1F08">
      <w:pPr>
        <w:rPr>
          <w:rFonts w:ascii="Helvetica" w:hAnsi="Helvetica"/>
          <w:b/>
          <w:bCs/>
          <w:sz w:val="28"/>
          <w:szCs w:val="28"/>
        </w:rPr>
      </w:pPr>
    </w:p>
    <w:p w14:paraId="6E919710" w14:textId="771B61BE" w:rsidR="00364B11" w:rsidRPr="002E1F08" w:rsidRDefault="00364B11">
      <w:pPr>
        <w:rPr>
          <w:rFonts w:asciiTheme="majorHAnsi" w:hAnsiTheme="majorHAnsi"/>
          <w:b/>
          <w:bCs/>
        </w:rPr>
      </w:pPr>
      <w:r w:rsidRPr="002E1F08">
        <w:rPr>
          <w:rFonts w:asciiTheme="majorHAnsi" w:hAnsiTheme="majorHAnsi"/>
          <w:b/>
          <w:bCs/>
        </w:rPr>
        <w:lastRenderedPageBreak/>
        <w:t>Background:</w:t>
      </w:r>
    </w:p>
    <w:p w14:paraId="158B17CA" w14:textId="6A113D65" w:rsidR="00022D5F" w:rsidRPr="002E1F08" w:rsidRDefault="00DF3656">
      <w:pPr>
        <w:rPr>
          <w:sz w:val="22"/>
          <w:szCs w:val="22"/>
        </w:rPr>
      </w:pPr>
      <w:r w:rsidRPr="002E1F08">
        <w:rPr>
          <w:sz w:val="22"/>
          <w:szCs w:val="22"/>
        </w:rPr>
        <w:t xml:space="preserve">The 62-day referral 85% performance thresholds describe an English healthcare </w:t>
      </w:r>
      <w:r w:rsidR="00614C11" w:rsidRPr="002E1F08">
        <w:rPr>
          <w:sz w:val="22"/>
          <w:szCs w:val="22"/>
        </w:rPr>
        <w:t>trust’s</w:t>
      </w:r>
      <w:r w:rsidRPr="002E1F08">
        <w:rPr>
          <w:sz w:val="22"/>
          <w:szCs w:val="22"/>
        </w:rPr>
        <w:t xml:space="preserve"> ability to initiat</w:t>
      </w:r>
      <w:r w:rsidR="00614C11" w:rsidRPr="002E1F08">
        <w:rPr>
          <w:sz w:val="22"/>
          <w:szCs w:val="22"/>
        </w:rPr>
        <w:t>e</w:t>
      </w:r>
      <w:r w:rsidRPr="002E1F08">
        <w:rPr>
          <w:sz w:val="22"/>
          <w:szCs w:val="22"/>
        </w:rPr>
        <w:t xml:space="preserve"> cancer treatment of a </w:t>
      </w:r>
      <w:r w:rsidR="00614C11" w:rsidRPr="002E1F08">
        <w:rPr>
          <w:sz w:val="22"/>
          <w:szCs w:val="22"/>
        </w:rPr>
        <w:t xml:space="preserve">new cancer </w:t>
      </w:r>
      <w:r w:rsidRPr="002E1F08">
        <w:rPr>
          <w:sz w:val="22"/>
          <w:szCs w:val="22"/>
        </w:rPr>
        <w:t xml:space="preserve">patient </w:t>
      </w:r>
      <w:r w:rsidR="00614C11" w:rsidRPr="002E1F08">
        <w:rPr>
          <w:sz w:val="22"/>
          <w:szCs w:val="22"/>
        </w:rPr>
        <w:t>within 62 days of initial diagnosis. Early diagnose to treatment improves medical outcomes</w:t>
      </w:r>
      <w:r w:rsidR="0003309E" w:rsidRPr="002E1F08">
        <w:rPr>
          <w:sz w:val="22"/>
          <w:szCs w:val="22"/>
        </w:rPr>
        <w:t xml:space="preserve"> (1)</w:t>
      </w:r>
      <w:r w:rsidR="00614C11" w:rsidRPr="002E1F08">
        <w:rPr>
          <w:sz w:val="22"/>
          <w:szCs w:val="22"/>
        </w:rPr>
        <w:t xml:space="preserve">. Additionally, well defined wait times </w:t>
      </w:r>
      <w:r w:rsidR="00022D5F" w:rsidRPr="002E1F08">
        <w:rPr>
          <w:sz w:val="22"/>
          <w:szCs w:val="22"/>
        </w:rPr>
        <w:t>may</w:t>
      </w:r>
      <w:r w:rsidR="00614C11" w:rsidRPr="002E1F08">
        <w:rPr>
          <w:sz w:val="22"/>
          <w:szCs w:val="22"/>
        </w:rPr>
        <w:t xml:space="preserve"> </w:t>
      </w:r>
      <w:r w:rsidR="00022D5F" w:rsidRPr="002E1F08">
        <w:rPr>
          <w:sz w:val="22"/>
          <w:szCs w:val="22"/>
        </w:rPr>
        <w:t xml:space="preserve">help to relive patient anxieties along with maintaining </w:t>
      </w:r>
      <w:r w:rsidR="00022D5F" w:rsidRPr="002E1F08">
        <w:rPr>
          <w:sz w:val="22"/>
          <w:szCs w:val="22"/>
        </w:rPr>
        <w:t>standardised care</w:t>
      </w:r>
      <w:r w:rsidR="00022D5F" w:rsidRPr="002E1F08">
        <w:rPr>
          <w:sz w:val="22"/>
          <w:szCs w:val="22"/>
        </w:rPr>
        <w:t xml:space="preserve"> within a public health care system. </w:t>
      </w:r>
      <w:r w:rsidR="00614C11" w:rsidRPr="002E1F08">
        <w:rPr>
          <w:sz w:val="22"/>
          <w:szCs w:val="22"/>
        </w:rPr>
        <w:t>Trust</w:t>
      </w:r>
      <w:r w:rsidR="00022D5F" w:rsidRPr="002E1F08">
        <w:rPr>
          <w:sz w:val="22"/>
          <w:szCs w:val="22"/>
        </w:rPr>
        <w:t>s</w:t>
      </w:r>
      <w:r w:rsidR="00614C11" w:rsidRPr="002E1F08">
        <w:rPr>
          <w:sz w:val="22"/>
          <w:szCs w:val="22"/>
        </w:rPr>
        <w:t xml:space="preserve"> that do not meet the </w:t>
      </w:r>
      <w:r w:rsidR="00614C11" w:rsidRPr="002E1F08">
        <w:rPr>
          <w:sz w:val="22"/>
          <w:szCs w:val="22"/>
        </w:rPr>
        <w:t>62-day referral 85%</w:t>
      </w:r>
      <w:r w:rsidR="00614C11" w:rsidRPr="002E1F08">
        <w:rPr>
          <w:sz w:val="22"/>
          <w:szCs w:val="22"/>
        </w:rPr>
        <w:t xml:space="preserve"> threshold face financial penalties of 1000 pounds per patient breaching the 62-days. </w:t>
      </w:r>
      <w:r w:rsidR="00022D5F" w:rsidRPr="002E1F08">
        <w:rPr>
          <w:sz w:val="22"/>
          <w:szCs w:val="22"/>
        </w:rPr>
        <w:t xml:space="preserve">At present, the national average </w:t>
      </w:r>
      <w:r w:rsidR="00022D5F" w:rsidRPr="002E1F08">
        <w:rPr>
          <w:sz w:val="22"/>
          <w:szCs w:val="22"/>
        </w:rPr>
        <w:t>85%</w:t>
      </w:r>
      <w:r w:rsidR="00022D5F" w:rsidRPr="002E1F08">
        <w:rPr>
          <w:sz w:val="22"/>
          <w:szCs w:val="22"/>
        </w:rPr>
        <w:t xml:space="preserve"> threshold</w:t>
      </w:r>
      <w:r w:rsidR="00022D5F" w:rsidRPr="002E1F08">
        <w:rPr>
          <w:sz w:val="22"/>
          <w:szCs w:val="22"/>
        </w:rPr>
        <w:t xml:space="preserve"> performance</w:t>
      </w:r>
      <w:r w:rsidR="00022D5F" w:rsidRPr="002E1F08">
        <w:rPr>
          <w:sz w:val="22"/>
          <w:szCs w:val="22"/>
        </w:rPr>
        <w:t xml:space="preserve"> is 62%. National performance consistently has declined over the last decade</w:t>
      </w:r>
      <w:r w:rsidR="00584E32" w:rsidRPr="002E1F08">
        <w:rPr>
          <w:sz w:val="22"/>
          <w:szCs w:val="22"/>
        </w:rPr>
        <w:t xml:space="preserve">, with the COVID-19 pandemic believed to majorly contribute to the large decline between 2020-22. </w:t>
      </w:r>
    </w:p>
    <w:p w14:paraId="74AE198D" w14:textId="60EECFC9" w:rsidR="00022D5F" w:rsidRDefault="00584E32" w:rsidP="00022D5F">
      <w:pPr>
        <w:jc w:val="center"/>
        <w:rPr>
          <w:rFonts w:ascii="Helvetica" w:hAnsi="Helvetica"/>
          <w:sz w:val="22"/>
          <w:szCs w:val="22"/>
        </w:rPr>
      </w:pPr>
      <w:r>
        <w:rPr>
          <w:rFonts w:ascii="Helvetica" w:hAnsi="Helvetica"/>
          <w:noProof/>
          <w:sz w:val="22"/>
          <w:szCs w:val="22"/>
        </w:rPr>
        <w:drawing>
          <wp:inline distT="0" distB="0" distL="0" distR="0" wp14:anchorId="44A635D3" wp14:editId="4C9341ED">
            <wp:extent cx="5731510" cy="2083435"/>
            <wp:effectExtent l="0" t="0" r="0" b="0"/>
            <wp:docPr id="376723044" name="Picture 2"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23044" name="Picture 2" descr="A graph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464EC5B2" w14:textId="27A819CE" w:rsidR="00584E32" w:rsidRDefault="00022D5F" w:rsidP="00584E32">
      <w:pPr>
        <w:jc w:val="center"/>
        <w:rPr>
          <w:sz w:val="18"/>
          <w:szCs w:val="18"/>
        </w:rPr>
      </w:pPr>
      <w:r w:rsidRPr="002E1F08">
        <w:rPr>
          <w:sz w:val="18"/>
          <w:szCs w:val="18"/>
        </w:rPr>
        <w:t>62-day standard performance of all English patients of accumulated cancer types between 20</w:t>
      </w:r>
      <w:r w:rsidR="00584E32" w:rsidRPr="002E1F08">
        <w:rPr>
          <w:sz w:val="18"/>
          <w:szCs w:val="18"/>
        </w:rPr>
        <w:t>10/11</w:t>
      </w:r>
      <w:r w:rsidRPr="002E1F08">
        <w:rPr>
          <w:sz w:val="18"/>
          <w:szCs w:val="18"/>
        </w:rPr>
        <w:t>-202</w:t>
      </w:r>
      <w:r w:rsidR="00584E32" w:rsidRPr="002E1F08">
        <w:rPr>
          <w:sz w:val="18"/>
          <w:szCs w:val="18"/>
        </w:rPr>
        <w:t>2/23.</w:t>
      </w:r>
    </w:p>
    <w:p w14:paraId="52E0A4FD" w14:textId="58194E6C" w:rsidR="003153CB" w:rsidRPr="002E1F08" w:rsidRDefault="002E1F08" w:rsidP="003153CB">
      <w:pPr>
        <w:jc w:val="center"/>
        <w:rPr>
          <w:sz w:val="18"/>
          <w:szCs w:val="18"/>
        </w:rPr>
      </w:pPr>
      <w:r>
        <w:rPr>
          <w:sz w:val="18"/>
          <w:szCs w:val="18"/>
        </w:rPr>
        <w:t>Source(</w:t>
      </w:r>
      <w:r w:rsidR="003153CB" w:rsidRPr="003153CB">
        <w:rPr>
          <w:sz w:val="18"/>
          <w:szCs w:val="18"/>
        </w:rPr>
        <w:t>https://pmc.ncbi.nlm.nih.gov/articles/PMC11323589/</w:t>
      </w:r>
      <w:r w:rsidR="003153CB">
        <w:rPr>
          <w:sz w:val="18"/>
          <w:szCs w:val="18"/>
        </w:rPr>
        <w:t>)</w:t>
      </w:r>
    </w:p>
    <w:p w14:paraId="5AF01313" w14:textId="610EB50F" w:rsidR="00584E32" w:rsidRPr="002E1F08" w:rsidRDefault="00364B11" w:rsidP="00584E32">
      <w:pPr>
        <w:rPr>
          <w:sz w:val="22"/>
          <w:szCs w:val="22"/>
        </w:rPr>
      </w:pPr>
      <w:r w:rsidRPr="002E1F08">
        <w:rPr>
          <w:sz w:val="22"/>
          <w:szCs w:val="22"/>
        </w:rPr>
        <w:t xml:space="preserve">There are roughly 124 acute trusts across England, 18 of which are within the Greater London area. London Health Trusts serve roughly 8.17 million people through both general practices and over 140 specialised services. </w:t>
      </w:r>
      <w:r w:rsidR="00DD484F" w:rsidRPr="002E1F08">
        <w:rPr>
          <w:sz w:val="22"/>
          <w:szCs w:val="22"/>
        </w:rPr>
        <w:t>Given that London’s trusts serve approximately 16% of England’s total population, a London-specific descriptive analysis would provide valuable insights for healthcare planners in Greater London. Such analysis can support the monitoring of 62-day referral performance and the incidence patterns of various cancer types across the region.</w:t>
      </w:r>
    </w:p>
    <w:p w14:paraId="2C893963" w14:textId="5D99C96C" w:rsidR="003C0B88" w:rsidRPr="002E1F08" w:rsidRDefault="003C0B88" w:rsidP="00584E32">
      <w:pPr>
        <w:rPr>
          <w:sz w:val="22"/>
          <w:szCs w:val="22"/>
        </w:rPr>
      </w:pPr>
      <w:r w:rsidRPr="002E1F08">
        <w:rPr>
          <w:sz w:val="22"/>
          <w:szCs w:val="22"/>
        </w:rPr>
        <w:t xml:space="preserve">This analytical report utilise NHS gathered cancer data to generate performance percentages over three years for each of the London based trusts. Although NHS data includes both suspected and confirmed, this report focuses exclusively on the threshold rates of confirmed cancer cases. While filtering of suspected cases may narrow the estimation of London trust performance, a confirmed cancer case focus can reveal diagnose-treatment pathway efficiency across the Greater London. </w:t>
      </w:r>
    </w:p>
    <w:p w14:paraId="45E553C3" w14:textId="77777777" w:rsidR="002E1F08" w:rsidRDefault="002E1F08" w:rsidP="00584E32">
      <w:pPr>
        <w:rPr>
          <w:rFonts w:ascii="Helvetica" w:hAnsi="Helvetica"/>
          <w:sz w:val="22"/>
          <w:szCs w:val="22"/>
        </w:rPr>
      </w:pPr>
    </w:p>
    <w:p w14:paraId="51ECB6DA" w14:textId="77777777" w:rsidR="002E1F08" w:rsidRDefault="002E1F08" w:rsidP="00584E32">
      <w:pPr>
        <w:rPr>
          <w:rFonts w:ascii="Helvetica" w:hAnsi="Helvetica"/>
          <w:sz w:val="22"/>
          <w:szCs w:val="22"/>
        </w:rPr>
      </w:pPr>
    </w:p>
    <w:p w14:paraId="1BD91E95" w14:textId="77777777" w:rsidR="002E1F08" w:rsidRDefault="002E1F08" w:rsidP="00584E32">
      <w:pPr>
        <w:rPr>
          <w:rFonts w:ascii="Helvetica" w:hAnsi="Helvetica"/>
          <w:sz w:val="22"/>
          <w:szCs w:val="22"/>
        </w:rPr>
      </w:pPr>
    </w:p>
    <w:p w14:paraId="35A5A38D" w14:textId="77777777" w:rsidR="002E1F08" w:rsidRDefault="002E1F08" w:rsidP="00584E32">
      <w:pPr>
        <w:rPr>
          <w:rFonts w:ascii="Helvetica" w:hAnsi="Helvetica"/>
          <w:sz w:val="22"/>
          <w:szCs w:val="22"/>
        </w:rPr>
      </w:pPr>
    </w:p>
    <w:p w14:paraId="16598DBF" w14:textId="6FD110C5" w:rsidR="00A52458" w:rsidRPr="003153CB" w:rsidRDefault="00DD484F" w:rsidP="00584E32">
      <w:pPr>
        <w:rPr>
          <w:rFonts w:asciiTheme="majorHAnsi" w:hAnsiTheme="majorHAnsi"/>
          <w:b/>
          <w:bCs/>
          <w:u w:val="single"/>
        </w:rPr>
      </w:pPr>
      <w:r w:rsidRPr="003153CB">
        <w:rPr>
          <w:rFonts w:asciiTheme="majorHAnsi" w:hAnsiTheme="majorHAnsi"/>
          <w:b/>
          <w:bCs/>
          <w:u w:val="single"/>
        </w:rPr>
        <w:lastRenderedPageBreak/>
        <w:t>Objectives:</w:t>
      </w:r>
    </w:p>
    <w:p w14:paraId="203F734E" w14:textId="7F8140EA" w:rsidR="00022D5F" w:rsidRPr="003153CB" w:rsidRDefault="00555F00" w:rsidP="00022D5F">
      <w:pPr>
        <w:rPr>
          <w:sz w:val="22"/>
          <w:szCs w:val="22"/>
        </w:rPr>
      </w:pPr>
      <w:r w:rsidRPr="003153CB">
        <w:rPr>
          <w:sz w:val="22"/>
          <w:szCs w:val="22"/>
        </w:rPr>
        <w:t xml:space="preserve">A </w:t>
      </w:r>
      <w:r w:rsidRPr="003153CB">
        <w:rPr>
          <w:sz w:val="22"/>
          <w:szCs w:val="22"/>
        </w:rPr>
        <w:t>key performance question</w:t>
      </w:r>
      <w:r w:rsidRPr="003153CB">
        <w:rPr>
          <w:sz w:val="22"/>
          <w:szCs w:val="22"/>
        </w:rPr>
        <w:t xml:space="preserve"> directs the inquire of this report:</w:t>
      </w:r>
    </w:p>
    <w:p w14:paraId="41BA0E96" w14:textId="3D084B78" w:rsidR="00555F00" w:rsidRPr="003153CB" w:rsidRDefault="00555F00" w:rsidP="00022D5F">
      <w:pPr>
        <w:rPr>
          <w:i/>
          <w:iCs/>
          <w:sz w:val="22"/>
          <w:szCs w:val="22"/>
        </w:rPr>
      </w:pPr>
      <w:r w:rsidRPr="003153CB">
        <w:rPr>
          <w:sz w:val="22"/>
          <w:szCs w:val="22"/>
        </w:rPr>
        <w:t>“</w:t>
      </w:r>
      <w:r w:rsidRPr="003153CB">
        <w:rPr>
          <w:i/>
          <w:iCs/>
          <w:sz w:val="22"/>
          <w:szCs w:val="22"/>
        </w:rPr>
        <w:t>Do NHS Greater London healthcare trusts meet the national 62-day referral 85% threshold target</w:t>
      </w:r>
      <w:r w:rsidR="009A44BD" w:rsidRPr="003153CB">
        <w:rPr>
          <w:i/>
          <w:iCs/>
          <w:sz w:val="22"/>
          <w:szCs w:val="22"/>
        </w:rPr>
        <w:t xml:space="preserve"> </w:t>
      </w:r>
      <w:r w:rsidR="009A44BD" w:rsidRPr="003153CB">
        <w:rPr>
          <w:i/>
          <w:iCs/>
          <w:sz w:val="22"/>
          <w:szCs w:val="22"/>
        </w:rPr>
        <w:t xml:space="preserve">amongst patients with a confirmed cancer </w:t>
      </w:r>
      <w:r w:rsidR="009A44BD" w:rsidRPr="003153CB">
        <w:rPr>
          <w:i/>
          <w:iCs/>
          <w:sz w:val="22"/>
          <w:szCs w:val="22"/>
        </w:rPr>
        <w:t>diagnosis?”</w:t>
      </w:r>
    </w:p>
    <w:p w14:paraId="686CC301" w14:textId="3034C761" w:rsidR="009A44BD" w:rsidRPr="003153CB" w:rsidRDefault="009A44BD" w:rsidP="00022D5F">
      <w:pPr>
        <w:rPr>
          <w:i/>
          <w:iCs/>
          <w:sz w:val="22"/>
          <w:szCs w:val="22"/>
        </w:rPr>
      </w:pPr>
      <w:r w:rsidRPr="003153CB">
        <w:rPr>
          <w:i/>
          <w:iCs/>
          <w:sz w:val="22"/>
          <w:szCs w:val="22"/>
        </w:rPr>
        <w:t>“H</w:t>
      </w:r>
      <w:r w:rsidRPr="003153CB">
        <w:rPr>
          <w:i/>
          <w:iCs/>
          <w:sz w:val="22"/>
          <w:szCs w:val="22"/>
        </w:rPr>
        <w:t>ow do NHS Greater London healthcare trusts</w:t>
      </w:r>
      <w:r w:rsidRPr="003153CB">
        <w:rPr>
          <w:i/>
          <w:iCs/>
          <w:sz w:val="22"/>
          <w:szCs w:val="22"/>
        </w:rPr>
        <w:t xml:space="preserve"> </w:t>
      </w:r>
      <w:r w:rsidRPr="003153CB">
        <w:rPr>
          <w:i/>
          <w:iCs/>
          <w:sz w:val="22"/>
          <w:szCs w:val="22"/>
        </w:rPr>
        <w:t>62-day referral</w:t>
      </w:r>
      <w:r w:rsidRPr="003153CB">
        <w:rPr>
          <w:i/>
          <w:iCs/>
          <w:sz w:val="22"/>
          <w:szCs w:val="22"/>
        </w:rPr>
        <w:t xml:space="preserve"> threshold performances</w:t>
      </w:r>
      <w:r w:rsidRPr="003153CB">
        <w:rPr>
          <w:i/>
          <w:iCs/>
          <w:sz w:val="22"/>
          <w:szCs w:val="22"/>
        </w:rPr>
        <w:t xml:space="preserve"> </w:t>
      </w:r>
      <w:r w:rsidRPr="003153CB">
        <w:rPr>
          <w:i/>
          <w:iCs/>
          <w:sz w:val="22"/>
          <w:szCs w:val="22"/>
        </w:rPr>
        <w:t>compare</w:t>
      </w:r>
      <w:r w:rsidRPr="003153CB">
        <w:rPr>
          <w:i/>
          <w:iCs/>
          <w:sz w:val="22"/>
          <w:szCs w:val="22"/>
        </w:rPr>
        <w:t xml:space="preserve"> to the national </w:t>
      </w:r>
      <w:r w:rsidRPr="003153CB">
        <w:rPr>
          <w:i/>
          <w:iCs/>
          <w:sz w:val="22"/>
          <w:szCs w:val="22"/>
        </w:rPr>
        <w:t>performance average</w:t>
      </w:r>
      <w:r w:rsidRPr="003153CB">
        <w:rPr>
          <w:i/>
          <w:iCs/>
          <w:sz w:val="22"/>
          <w:szCs w:val="22"/>
        </w:rPr>
        <w:t>?”</w:t>
      </w:r>
    </w:p>
    <w:p w14:paraId="0236EE85" w14:textId="271FCB56" w:rsidR="00555F00" w:rsidRPr="003153CB" w:rsidRDefault="006915C3" w:rsidP="00022D5F">
      <w:pPr>
        <w:rPr>
          <w:sz w:val="22"/>
          <w:szCs w:val="22"/>
        </w:rPr>
      </w:pPr>
      <w:r w:rsidRPr="003153CB">
        <w:rPr>
          <w:sz w:val="22"/>
          <w:szCs w:val="22"/>
        </w:rPr>
        <w:t xml:space="preserve">Other key sub-questions will direct further investigation into </w:t>
      </w:r>
      <w:r w:rsidRPr="003153CB">
        <w:rPr>
          <w:sz w:val="22"/>
          <w:szCs w:val="22"/>
        </w:rPr>
        <w:t>potential temporal variation in trust performance</w:t>
      </w:r>
      <w:r w:rsidRPr="003153CB">
        <w:rPr>
          <w:sz w:val="22"/>
          <w:szCs w:val="22"/>
        </w:rPr>
        <w:t>. Additionally, the incidence of cancer across Greater London and:</w:t>
      </w:r>
    </w:p>
    <w:p w14:paraId="5F766B31" w14:textId="0B3BAC8D" w:rsidR="006915C3" w:rsidRPr="003153CB" w:rsidRDefault="006915C3" w:rsidP="00022D5F">
      <w:pPr>
        <w:rPr>
          <w:i/>
          <w:iCs/>
          <w:sz w:val="22"/>
          <w:szCs w:val="22"/>
        </w:rPr>
      </w:pPr>
      <w:r w:rsidRPr="003153CB">
        <w:rPr>
          <w:i/>
          <w:iCs/>
          <w:sz w:val="22"/>
          <w:szCs w:val="22"/>
        </w:rPr>
        <w:t xml:space="preserve">“How do </w:t>
      </w:r>
      <w:r w:rsidRPr="003153CB">
        <w:rPr>
          <w:i/>
          <w:iCs/>
          <w:sz w:val="22"/>
          <w:szCs w:val="22"/>
        </w:rPr>
        <w:t>NHS Greater London healthcare trusts</w:t>
      </w:r>
      <w:r w:rsidRPr="003153CB">
        <w:rPr>
          <w:i/>
          <w:iCs/>
          <w:sz w:val="22"/>
          <w:szCs w:val="22"/>
        </w:rPr>
        <w:t xml:space="preserve"> vary in their ability to reach </w:t>
      </w:r>
      <w:r w:rsidRPr="003153CB">
        <w:rPr>
          <w:i/>
          <w:iCs/>
          <w:sz w:val="22"/>
          <w:szCs w:val="22"/>
        </w:rPr>
        <w:t>62-day referral 85% threshold target</w:t>
      </w:r>
      <w:r w:rsidRPr="003153CB">
        <w:rPr>
          <w:i/>
          <w:iCs/>
          <w:sz w:val="22"/>
          <w:szCs w:val="22"/>
        </w:rPr>
        <w:t>s</w:t>
      </w:r>
      <w:r w:rsidR="009A44BD" w:rsidRPr="003153CB">
        <w:rPr>
          <w:i/>
          <w:iCs/>
          <w:sz w:val="22"/>
          <w:szCs w:val="22"/>
        </w:rPr>
        <w:t xml:space="preserve"> amongst patients with a confirmed cancer diagnosis</w:t>
      </w:r>
      <w:r w:rsidR="00AE7EB7" w:rsidRPr="003153CB">
        <w:rPr>
          <w:i/>
          <w:iCs/>
          <w:sz w:val="22"/>
          <w:szCs w:val="22"/>
        </w:rPr>
        <w:t xml:space="preserve"> over time</w:t>
      </w:r>
      <w:r w:rsidR="009A44BD" w:rsidRPr="003153CB">
        <w:rPr>
          <w:i/>
          <w:iCs/>
          <w:sz w:val="22"/>
          <w:szCs w:val="22"/>
        </w:rPr>
        <w:t>?</w:t>
      </w:r>
      <w:r w:rsidRPr="003153CB">
        <w:rPr>
          <w:i/>
          <w:iCs/>
          <w:sz w:val="22"/>
          <w:szCs w:val="22"/>
        </w:rPr>
        <w:t>”</w:t>
      </w:r>
      <w:r w:rsidR="009A44BD" w:rsidRPr="003153CB">
        <w:rPr>
          <w:i/>
          <w:iCs/>
          <w:sz w:val="22"/>
          <w:szCs w:val="22"/>
        </w:rPr>
        <w:t>.</w:t>
      </w:r>
    </w:p>
    <w:p w14:paraId="056D1C22" w14:textId="79D34536" w:rsidR="009A44BD" w:rsidRPr="003153CB" w:rsidRDefault="009A44BD" w:rsidP="00022D5F">
      <w:pPr>
        <w:rPr>
          <w:i/>
          <w:iCs/>
          <w:sz w:val="22"/>
          <w:szCs w:val="22"/>
        </w:rPr>
      </w:pPr>
      <w:r w:rsidRPr="003153CB">
        <w:rPr>
          <w:i/>
          <w:iCs/>
          <w:sz w:val="22"/>
          <w:szCs w:val="22"/>
        </w:rPr>
        <w:t>“How do the incidence of cancer amongst confirmed patients different between trust and cancer type?”</w:t>
      </w:r>
    </w:p>
    <w:p w14:paraId="5418A285" w14:textId="37EDD8C1" w:rsidR="00AE0780" w:rsidRPr="003153CB" w:rsidRDefault="00AE0780" w:rsidP="00022D5F">
      <w:pPr>
        <w:rPr>
          <w:rFonts w:asciiTheme="majorHAnsi" w:hAnsiTheme="majorHAnsi"/>
          <w:b/>
          <w:bCs/>
          <w:u w:val="single"/>
        </w:rPr>
      </w:pPr>
      <w:r w:rsidRPr="003153CB">
        <w:rPr>
          <w:rFonts w:asciiTheme="majorHAnsi" w:hAnsiTheme="majorHAnsi"/>
          <w:b/>
          <w:bCs/>
          <w:u w:val="single"/>
        </w:rPr>
        <w:t>Methodology:</w:t>
      </w:r>
    </w:p>
    <w:p w14:paraId="1BA3FCA3" w14:textId="4E6E5BFA" w:rsidR="00022D5F" w:rsidRPr="003153CB" w:rsidRDefault="00AE0780" w:rsidP="00022D5F">
      <w:pPr>
        <w:rPr>
          <w:sz w:val="22"/>
          <w:szCs w:val="22"/>
        </w:rPr>
      </w:pPr>
      <w:r w:rsidRPr="003153CB">
        <w:rPr>
          <w:sz w:val="22"/>
          <w:szCs w:val="22"/>
        </w:rPr>
        <w:t xml:space="preserve">All data was gained through the NHS cancer waiting list website: </w:t>
      </w:r>
      <w:hyperlink r:id="rId6" w:history="1">
        <w:r w:rsidRPr="003153CB">
          <w:rPr>
            <w:rStyle w:val="Hyperlink"/>
            <w:sz w:val="22"/>
            <w:szCs w:val="22"/>
          </w:rPr>
          <w:t>https://www.england.nhs.uk/statistics/statistical-work-areas/cancer-waiting-times/#cwt-statistics-up-to-september-2023</w:t>
        </w:r>
      </w:hyperlink>
    </w:p>
    <w:p w14:paraId="3EAA68DB" w14:textId="35F32653" w:rsidR="00AE0780" w:rsidRPr="003153CB" w:rsidRDefault="00AE0780" w:rsidP="00022D5F">
      <w:pPr>
        <w:rPr>
          <w:sz w:val="22"/>
          <w:szCs w:val="22"/>
        </w:rPr>
      </w:pPr>
      <w:r w:rsidRPr="003153CB">
        <w:rPr>
          <w:sz w:val="22"/>
          <w:szCs w:val="22"/>
        </w:rPr>
        <w:t>A detailed summary of this report’s methodology can be accessed via GitHub link:</w:t>
      </w:r>
      <w:r w:rsidRPr="003153CB">
        <w:t xml:space="preserve"> </w:t>
      </w:r>
      <w:r w:rsidRPr="003153CB">
        <w:t>“</w:t>
      </w:r>
      <w:hyperlink r:id="rId7" w:history="1">
        <w:r w:rsidRPr="003153CB">
          <w:rPr>
            <w:rStyle w:val="Hyperlink"/>
            <w:sz w:val="22"/>
            <w:szCs w:val="22"/>
          </w:rPr>
          <w:t>https://github.com/Handy1913/NHS_London_Cancer_62_day.git</w:t>
        </w:r>
      </w:hyperlink>
      <w:r w:rsidRPr="003153CB">
        <w:rPr>
          <w:sz w:val="22"/>
          <w:szCs w:val="22"/>
        </w:rPr>
        <w:t>” within the “</w:t>
      </w:r>
      <w:r w:rsidRPr="003153CB">
        <w:rPr>
          <w:i/>
          <w:iCs/>
          <w:sz w:val="22"/>
          <w:szCs w:val="22"/>
        </w:rPr>
        <w:t>methodology + python file</w:t>
      </w:r>
      <w:r w:rsidRPr="003153CB">
        <w:rPr>
          <w:sz w:val="22"/>
          <w:szCs w:val="22"/>
        </w:rPr>
        <w:t xml:space="preserve">”. </w:t>
      </w:r>
    </w:p>
    <w:p w14:paraId="40D49F3E" w14:textId="6C2F51FA" w:rsidR="00AE0780" w:rsidRPr="003153CB" w:rsidRDefault="00AE0780" w:rsidP="00022D5F">
      <w:pPr>
        <w:rPr>
          <w:rFonts w:asciiTheme="majorHAnsi" w:hAnsiTheme="majorHAnsi"/>
          <w:b/>
          <w:bCs/>
          <w:u w:val="single"/>
        </w:rPr>
      </w:pPr>
      <w:r w:rsidRPr="003153CB">
        <w:rPr>
          <w:rFonts w:asciiTheme="majorHAnsi" w:hAnsiTheme="majorHAnsi"/>
          <w:b/>
          <w:bCs/>
          <w:u w:val="single"/>
        </w:rPr>
        <w:t xml:space="preserve">Results </w:t>
      </w:r>
    </w:p>
    <w:p w14:paraId="35FFC728" w14:textId="30881CEE" w:rsidR="00AE7EB7" w:rsidRPr="003153CB" w:rsidRDefault="00AE0780" w:rsidP="00022D5F">
      <w:pPr>
        <w:rPr>
          <w:b/>
          <w:bCs/>
          <w:i/>
          <w:iCs/>
          <w:sz w:val="22"/>
          <w:szCs w:val="22"/>
        </w:rPr>
      </w:pPr>
      <w:r w:rsidRPr="003153CB">
        <w:rPr>
          <w:b/>
          <w:bCs/>
          <w:sz w:val="22"/>
          <w:szCs w:val="22"/>
        </w:rPr>
        <w:t>“</w:t>
      </w:r>
      <w:r w:rsidRPr="003153CB">
        <w:rPr>
          <w:b/>
          <w:bCs/>
          <w:i/>
          <w:iCs/>
          <w:sz w:val="22"/>
          <w:szCs w:val="22"/>
        </w:rPr>
        <w:t>Do NHS Greater London healthcare trusts meet the national 62-day referral 85% threshold target amongst patients with a confirmed cancer diagnosis?”</w:t>
      </w:r>
    </w:p>
    <w:p w14:paraId="63E48B0D" w14:textId="4D4735C1" w:rsidR="0051333B" w:rsidRPr="003153CB" w:rsidRDefault="009629C0" w:rsidP="00022D5F">
      <w:pPr>
        <w:rPr>
          <w:sz w:val="22"/>
          <w:szCs w:val="22"/>
        </w:rPr>
      </w:pPr>
      <w:r w:rsidRPr="003153CB">
        <w:rPr>
          <w:sz w:val="22"/>
          <w:szCs w:val="22"/>
        </w:rPr>
        <w:t xml:space="preserve">Of the 18 Greater London Trusts, only Epsom and St Helier University Hospital succeeded in coming close to the threshold level required (Mean 84.97% CI 84.04%-85.90%). </w:t>
      </w:r>
      <w:r w:rsidR="00A25465" w:rsidRPr="003153CB">
        <w:rPr>
          <w:sz w:val="22"/>
          <w:szCs w:val="22"/>
        </w:rPr>
        <w:t xml:space="preserve">The </w:t>
      </w:r>
      <w:r w:rsidR="00C638B1" w:rsidRPr="003153CB">
        <w:rPr>
          <w:sz w:val="22"/>
          <w:szCs w:val="22"/>
        </w:rPr>
        <w:t xml:space="preserve">highest </w:t>
      </w:r>
      <w:r w:rsidR="00A25465" w:rsidRPr="003153CB">
        <w:rPr>
          <w:sz w:val="22"/>
          <w:szCs w:val="22"/>
        </w:rPr>
        <w:t xml:space="preserve">and lowest </w:t>
      </w:r>
      <w:r w:rsidR="00C638B1" w:rsidRPr="003153CB">
        <w:rPr>
          <w:sz w:val="22"/>
          <w:szCs w:val="22"/>
        </w:rPr>
        <w:t>performing trusts include:</w:t>
      </w:r>
    </w:p>
    <w:tbl>
      <w:tblPr>
        <w:tblStyle w:val="TableGrid"/>
        <w:tblW w:w="8784" w:type="dxa"/>
        <w:tblLook w:val="04A0" w:firstRow="1" w:lastRow="0" w:firstColumn="1" w:lastColumn="0" w:noHBand="0" w:noVBand="1"/>
      </w:tblPr>
      <w:tblGrid>
        <w:gridCol w:w="4331"/>
        <w:gridCol w:w="4453"/>
      </w:tblGrid>
      <w:tr w:rsidR="00C638B1" w:rsidRPr="003153CB" w14:paraId="7E8B1424" w14:textId="77777777" w:rsidTr="00C4737C">
        <w:trPr>
          <w:trHeight w:val="189"/>
        </w:trPr>
        <w:tc>
          <w:tcPr>
            <w:tcW w:w="4331" w:type="dxa"/>
          </w:tcPr>
          <w:p w14:paraId="625120D0" w14:textId="7B694D2E" w:rsidR="00C638B1" w:rsidRPr="003153CB" w:rsidRDefault="00C638B1" w:rsidP="00022D5F">
            <w:pPr>
              <w:rPr>
                <w:sz w:val="20"/>
                <w:szCs w:val="20"/>
              </w:rPr>
            </w:pPr>
            <w:r w:rsidRPr="003153CB">
              <w:rPr>
                <w:sz w:val="20"/>
                <w:szCs w:val="20"/>
              </w:rPr>
              <w:t>Top 5 performing Greater London Trusts</w:t>
            </w:r>
          </w:p>
        </w:tc>
        <w:tc>
          <w:tcPr>
            <w:tcW w:w="4453" w:type="dxa"/>
          </w:tcPr>
          <w:p w14:paraId="5D64C94A" w14:textId="4AB33FC0" w:rsidR="00C638B1" w:rsidRPr="003153CB" w:rsidRDefault="00C638B1" w:rsidP="00022D5F">
            <w:pPr>
              <w:rPr>
                <w:sz w:val="20"/>
                <w:szCs w:val="20"/>
              </w:rPr>
            </w:pPr>
            <w:r w:rsidRPr="003153CB">
              <w:rPr>
                <w:sz w:val="20"/>
                <w:szCs w:val="20"/>
              </w:rPr>
              <w:t>Lowest</w:t>
            </w:r>
            <w:r w:rsidRPr="003153CB">
              <w:rPr>
                <w:sz w:val="20"/>
                <w:szCs w:val="20"/>
              </w:rPr>
              <w:t xml:space="preserve"> 5 performing Greater London Trusts</w:t>
            </w:r>
          </w:p>
        </w:tc>
      </w:tr>
      <w:tr w:rsidR="00C638B1" w:rsidRPr="003153CB" w14:paraId="4D5EC289" w14:textId="77777777" w:rsidTr="00C4737C">
        <w:trPr>
          <w:trHeight w:val="378"/>
        </w:trPr>
        <w:tc>
          <w:tcPr>
            <w:tcW w:w="4331" w:type="dxa"/>
          </w:tcPr>
          <w:p w14:paraId="38909760" w14:textId="4ED11283" w:rsidR="00C638B1" w:rsidRPr="003153CB" w:rsidRDefault="00C638B1" w:rsidP="00C638B1">
            <w:pPr>
              <w:pStyle w:val="ListParagraph"/>
              <w:numPr>
                <w:ilvl w:val="0"/>
                <w:numId w:val="2"/>
              </w:numPr>
              <w:rPr>
                <w:sz w:val="20"/>
                <w:szCs w:val="20"/>
              </w:rPr>
            </w:pPr>
            <w:r w:rsidRPr="003153CB">
              <w:rPr>
                <w:sz w:val="20"/>
                <w:szCs w:val="20"/>
              </w:rPr>
              <w:t>Epsom and St Helier University Hospital</w:t>
            </w:r>
            <w:r w:rsidRPr="003153CB">
              <w:rPr>
                <w:sz w:val="20"/>
                <w:szCs w:val="20"/>
              </w:rPr>
              <w:t xml:space="preserve"> (</w:t>
            </w:r>
            <w:r w:rsidRPr="003153CB">
              <w:rPr>
                <w:sz w:val="20"/>
                <w:szCs w:val="20"/>
              </w:rPr>
              <w:t>84.97% CI 84.04%-85.90%</w:t>
            </w:r>
            <w:r w:rsidRPr="003153CB">
              <w:rPr>
                <w:sz w:val="20"/>
                <w:szCs w:val="20"/>
              </w:rPr>
              <w:t>)</w:t>
            </w:r>
          </w:p>
        </w:tc>
        <w:tc>
          <w:tcPr>
            <w:tcW w:w="4453" w:type="dxa"/>
          </w:tcPr>
          <w:p w14:paraId="1E0BFFBD" w14:textId="3C27D3C7" w:rsidR="00C638B1" w:rsidRPr="003153CB" w:rsidRDefault="00C638B1" w:rsidP="00C638B1">
            <w:pPr>
              <w:rPr>
                <w:sz w:val="20"/>
                <w:szCs w:val="20"/>
              </w:rPr>
            </w:pPr>
            <w:r w:rsidRPr="003153CB">
              <w:rPr>
                <w:sz w:val="20"/>
                <w:szCs w:val="20"/>
              </w:rPr>
              <w:t>Guy’s and Saint Thomas’ (47.74% CI 46.10%-49.39%)</w:t>
            </w:r>
          </w:p>
        </w:tc>
      </w:tr>
      <w:tr w:rsidR="00C638B1" w:rsidRPr="003153CB" w14:paraId="37111606" w14:textId="77777777" w:rsidTr="00C4737C">
        <w:trPr>
          <w:trHeight w:val="368"/>
        </w:trPr>
        <w:tc>
          <w:tcPr>
            <w:tcW w:w="4331" w:type="dxa"/>
          </w:tcPr>
          <w:p w14:paraId="4759E98C" w14:textId="1E3B4E75" w:rsidR="00C638B1" w:rsidRPr="003153CB" w:rsidRDefault="00C638B1" w:rsidP="00C638B1">
            <w:pPr>
              <w:pStyle w:val="ListParagraph"/>
              <w:numPr>
                <w:ilvl w:val="0"/>
                <w:numId w:val="2"/>
              </w:numPr>
              <w:rPr>
                <w:sz w:val="20"/>
                <w:szCs w:val="20"/>
              </w:rPr>
            </w:pPr>
            <w:r w:rsidRPr="003153CB">
              <w:rPr>
                <w:sz w:val="20"/>
                <w:szCs w:val="20"/>
              </w:rPr>
              <w:t>Kingston Hospital (81.89% CI 80.69%-83.08%)</w:t>
            </w:r>
          </w:p>
        </w:tc>
        <w:tc>
          <w:tcPr>
            <w:tcW w:w="4453" w:type="dxa"/>
          </w:tcPr>
          <w:p w14:paraId="5F61694A" w14:textId="247EA6F9" w:rsidR="00C638B1" w:rsidRPr="003153CB" w:rsidRDefault="00C638B1" w:rsidP="00022D5F">
            <w:pPr>
              <w:rPr>
                <w:sz w:val="20"/>
                <w:szCs w:val="20"/>
              </w:rPr>
            </w:pPr>
            <w:r w:rsidRPr="003153CB">
              <w:rPr>
                <w:sz w:val="20"/>
                <w:szCs w:val="20"/>
              </w:rPr>
              <w:t>Royal Free London (56.69 CI 55.01%-58.37%)</w:t>
            </w:r>
          </w:p>
        </w:tc>
      </w:tr>
      <w:tr w:rsidR="00C638B1" w:rsidRPr="003153CB" w14:paraId="63277106" w14:textId="77777777" w:rsidTr="00C4737C">
        <w:trPr>
          <w:trHeight w:val="378"/>
        </w:trPr>
        <w:tc>
          <w:tcPr>
            <w:tcW w:w="4331" w:type="dxa"/>
          </w:tcPr>
          <w:p w14:paraId="2586AB5D" w14:textId="227DE89F" w:rsidR="00C638B1" w:rsidRPr="003153CB" w:rsidRDefault="00C638B1" w:rsidP="00C638B1">
            <w:pPr>
              <w:pStyle w:val="ListParagraph"/>
              <w:numPr>
                <w:ilvl w:val="0"/>
                <w:numId w:val="2"/>
              </w:numPr>
              <w:rPr>
                <w:sz w:val="20"/>
                <w:szCs w:val="20"/>
              </w:rPr>
            </w:pPr>
            <w:r w:rsidRPr="003153CB">
              <w:rPr>
                <w:sz w:val="20"/>
                <w:szCs w:val="20"/>
              </w:rPr>
              <w:t>Homerton Healthcare (81.12% CI 79.25%-82.99%)</w:t>
            </w:r>
          </w:p>
        </w:tc>
        <w:tc>
          <w:tcPr>
            <w:tcW w:w="4453" w:type="dxa"/>
          </w:tcPr>
          <w:p w14:paraId="3A68D7B1" w14:textId="11039133" w:rsidR="00C638B1" w:rsidRPr="003153CB" w:rsidRDefault="00C638B1" w:rsidP="00022D5F">
            <w:pPr>
              <w:rPr>
                <w:sz w:val="20"/>
                <w:szCs w:val="20"/>
              </w:rPr>
            </w:pPr>
            <w:r w:rsidRPr="003153CB">
              <w:rPr>
                <w:sz w:val="20"/>
                <w:szCs w:val="20"/>
              </w:rPr>
              <w:t>North Middlesex University Hospital (57.68 CI 55.22%-60.13%)</w:t>
            </w:r>
          </w:p>
        </w:tc>
      </w:tr>
      <w:tr w:rsidR="00C638B1" w:rsidRPr="003153CB" w14:paraId="0F9477EF" w14:textId="77777777" w:rsidTr="00C4737C">
        <w:trPr>
          <w:trHeight w:val="378"/>
        </w:trPr>
        <w:tc>
          <w:tcPr>
            <w:tcW w:w="4331" w:type="dxa"/>
          </w:tcPr>
          <w:p w14:paraId="7B27D735" w14:textId="45C5C607" w:rsidR="00C638B1" w:rsidRPr="003153CB" w:rsidRDefault="00C638B1" w:rsidP="00C638B1">
            <w:pPr>
              <w:pStyle w:val="ListParagraph"/>
              <w:numPr>
                <w:ilvl w:val="0"/>
                <w:numId w:val="2"/>
              </w:numPr>
              <w:rPr>
                <w:sz w:val="20"/>
                <w:szCs w:val="20"/>
              </w:rPr>
            </w:pPr>
            <w:r w:rsidRPr="003153CB">
              <w:rPr>
                <w:sz w:val="20"/>
                <w:szCs w:val="20"/>
              </w:rPr>
              <w:t>Cheslea and Westminster (80.02% CI 78</w:t>
            </w:r>
            <w:r w:rsidR="0003309E" w:rsidRPr="003153CB">
              <w:rPr>
                <w:sz w:val="20"/>
                <w:szCs w:val="20"/>
              </w:rPr>
              <w:t>.00</w:t>
            </w:r>
            <w:r w:rsidRPr="003153CB">
              <w:rPr>
                <w:sz w:val="20"/>
                <w:szCs w:val="20"/>
              </w:rPr>
              <w:t>-82.04%)</w:t>
            </w:r>
          </w:p>
        </w:tc>
        <w:tc>
          <w:tcPr>
            <w:tcW w:w="4453" w:type="dxa"/>
          </w:tcPr>
          <w:p w14:paraId="4277F8E6" w14:textId="2FF41B53" w:rsidR="00C638B1" w:rsidRPr="003153CB" w:rsidRDefault="00C638B1" w:rsidP="00022D5F">
            <w:pPr>
              <w:rPr>
                <w:sz w:val="20"/>
                <w:szCs w:val="20"/>
              </w:rPr>
            </w:pPr>
            <w:r w:rsidRPr="003153CB">
              <w:rPr>
                <w:sz w:val="20"/>
                <w:szCs w:val="20"/>
              </w:rPr>
              <w:t>Whittington Health (59.73 CI 56.92%-62.55%)</w:t>
            </w:r>
          </w:p>
        </w:tc>
      </w:tr>
      <w:tr w:rsidR="00C638B1" w:rsidRPr="003153CB" w14:paraId="307DF9E9" w14:textId="77777777" w:rsidTr="00C4737C">
        <w:trPr>
          <w:trHeight w:val="378"/>
        </w:trPr>
        <w:tc>
          <w:tcPr>
            <w:tcW w:w="4331" w:type="dxa"/>
          </w:tcPr>
          <w:p w14:paraId="4DC9C046" w14:textId="7560A7FD" w:rsidR="00C638B1" w:rsidRPr="003153CB" w:rsidRDefault="00C638B1" w:rsidP="00C638B1">
            <w:pPr>
              <w:pStyle w:val="ListParagraph"/>
              <w:numPr>
                <w:ilvl w:val="0"/>
                <w:numId w:val="2"/>
              </w:numPr>
              <w:rPr>
                <w:sz w:val="20"/>
                <w:szCs w:val="20"/>
              </w:rPr>
            </w:pPr>
            <w:r w:rsidRPr="003153CB">
              <w:rPr>
                <w:sz w:val="20"/>
                <w:szCs w:val="20"/>
              </w:rPr>
              <w:t>London Northwest University (75.29% CI 73.56%-77.01%)</w:t>
            </w:r>
          </w:p>
        </w:tc>
        <w:tc>
          <w:tcPr>
            <w:tcW w:w="4453" w:type="dxa"/>
          </w:tcPr>
          <w:p w14:paraId="4FE21CF6" w14:textId="7A9B962A" w:rsidR="00C638B1" w:rsidRPr="003153CB" w:rsidRDefault="00C638B1" w:rsidP="00022D5F">
            <w:pPr>
              <w:rPr>
                <w:sz w:val="20"/>
                <w:szCs w:val="20"/>
              </w:rPr>
            </w:pPr>
            <w:r w:rsidRPr="003153CB">
              <w:rPr>
                <w:sz w:val="20"/>
                <w:szCs w:val="20"/>
              </w:rPr>
              <w:t>Barts Health (64.32 CI 62.77%-65.87%)</w:t>
            </w:r>
          </w:p>
        </w:tc>
      </w:tr>
    </w:tbl>
    <w:p w14:paraId="7538550F" w14:textId="77777777" w:rsidR="0051333B" w:rsidRPr="003153CB" w:rsidRDefault="0051333B" w:rsidP="0051333B">
      <w:pPr>
        <w:rPr>
          <w:sz w:val="20"/>
          <w:szCs w:val="20"/>
        </w:rPr>
      </w:pPr>
      <w:r w:rsidRPr="003153CB">
        <w:rPr>
          <w:sz w:val="20"/>
          <w:szCs w:val="20"/>
        </w:rPr>
        <w:t xml:space="preserve">Table 1.0 displays the highest and lowest performing Greater London Trusts average percentage and CI values. </w:t>
      </w:r>
    </w:p>
    <w:p w14:paraId="0ED51B58" w14:textId="341B8AD8" w:rsidR="00C638B1" w:rsidRDefault="00C638B1" w:rsidP="00022D5F">
      <w:pPr>
        <w:rPr>
          <w:rFonts w:ascii="Helvetica" w:hAnsi="Helvetica"/>
          <w:sz w:val="20"/>
          <w:szCs w:val="20"/>
        </w:rPr>
      </w:pPr>
    </w:p>
    <w:p w14:paraId="02EE68CC" w14:textId="77777777" w:rsidR="0051333B" w:rsidRDefault="0051333B" w:rsidP="00022D5F">
      <w:pPr>
        <w:rPr>
          <w:rFonts w:ascii="Helvetica" w:hAnsi="Helvetica"/>
          <w:sz w:val="20"/>
          <w:szCs w:val="20"/>
        </w:rPr>
      </w:pPr>
    </w:p>
    <w:p w14:paraId="4CF19219" w14:textId="77777777" w:rsidR="0051333B" w:rsidRPr="003153CB" w:rsidRDefault="0051333B" w:rsidP="00022D5F">
      <w:pPr>
        <w:rPr>
          <w:sz w:val="20"/>
          <w:szCs w:val="20"/>
        </w:rPr>
      </w:pPr>
    </w:p>
    <w:p w14:paraId="1922D38E" w14:textId="213C2DE6" w:rsidR="0051333B" w:rsidRPr="003153CB" w:rsidRDefault="0051333B" w:rsidP="00022D5F">
      <w:pPr>
        <w:rPr>
          <w:sz w:val="20"/>
          <w:szCs w:val="20"/>
        </w:rPr>
      </w:pPr>
      <w:r w:rsidRPr="003153CB">
        <w:rPr>
          <w:sz w:val="20"/>
          <w:szCs w:val="20"/>
        </w:rPr>
        <w:t>Figure 1.0 The performance trend of the highest achieving Greater London Trust, Epsom and St Helier over the data period of 2022-2025.</w:t>
      </w:r>
      <w:r w:rsidR="004261ED" w:rsidRPr="003153CB">
        <w:rPr>
          <w:sz w:val="20"/>
          <w:szCs w:val="20"/>
        </w:rPr>
        <w:t xml:space="preserve"> 85% target line is shown in grey alongside national 67% average (England) in grey. </w:t>
      </w:r>
    </w:p>
    <w:p w14:paraId="40EB0EFA" w14:textId="0B11A883" w:rsidR="0051333B" w:rsidRDefault="0051333B" w:rsidP="00022D5F">
      <w:pPr>
        <w:rPr>
          <w:rFonts w:ascii="Helvetica" w:hAnsi="Helvetica"/>
          <w:sz w:val="20"/>
          <w:szCs w:val="20"/>
        </w:rPr>
      </w:pPr>
      <w:r>
        <w:rPr>
          <w:rFonts w:ascii="Helvetica" w:hAnsi="Helvetica"/>
          <w:noProof/>
          <w:sz w:val="20"/>
          <w:szCs w:val="20"/>
        </w:rPr>
        <w:drawing>
          <wp:inline distT="0" distB="0" distL="0" distR="0" wp14:anchorId="3F7A5247" wp14:editId="5207B5AA">
            <wp:extent cx="3967575" cy="3090041"/>
            <wp:effectExtent l="0" t="0" r="0" b="0"/>
            <wp:docPr id="1189535622" name="Picture 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35622" name="Picture 3" descr="A graph with a line going up&#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77630" cy="3097872"/>
                    </a:xfrm>
                    <a:prstGeom prst="rect">
                      <a:avLst/>
                    </a:prstGeom>
                  </pic:spPr>
                </pic:pic>
              </a:graphicData>
            </a:graphic>
          </wp:inline>
        </w:drawing>
      </w:r>
    </w:p>
    <w:p w14:paraId="4D0A1801" w14:textId="6836FA79" w:rsidR="0051333B" w:rsidRPr="004261ED" w:rsidRDefault="0051333B" w:rsidP="00022D5F">
      <w:pPr>
        <w:rPr>
          <w:rFonts w:ascii="Helvetica" w:hAnsi="Helvetica"/>
          <w:sz w:val="20"/>
          <w:szCs w:val="20"/>
        </w:rPr>
      </w:pPr>
    </w:p>
    <w:p w14:paraId="581F0CB5" w14:textId="77777777" w:rsidR="0003309E" w:rsidRPr="003153CB" w:rsidRDefault="0003309E" w:rsidP="0003309E">
      <w:pPr>
        <w:rPr>
          <w:b/>
          <w:bCs/>
          <w:i/>
          <w:iCs/>
          <w:sz w:val="22"/>
          <w:szCs w:val="22"/>
        </w:rPr>
      </w:pPr>
      <w:r w:rsidRPr="003153CB">
        <w:rPr>
          <w:b/>
          <w:bCs/>
          <w:i/>
          <w:iCs/>
          <w:sz w:val="22"/>
          <w:szCs w:val="22"/>
        </w:rPr>
        <w:t>“How do NHS Greater London healthcare trusts 62-day referral threshold performances compare to the national performance average?”</w:t>
      </w:r>
    </w:p>
    <w:p w14:paraId="4CF2ADC6" w14:textId="0269AC0C" w:rsidR="00D83E18" w:rsidRPr="003153CB" w:rsidRDefault="0003309E" w:rsidP="00022D5F">
      <w:pPr>
        <w:rPr>
          <w:sz w:val="22"/>
          <w:szCs w:val="22"/>
        </w:rPr>
      </w:pPr>
      <w:r w:rsidRPr="003153CB">
        <w:rPr>
          <w:sz w:val="22"/>
          <w:szCs w:val="22"/>
        </w:rPr>
        <w:t xml:space="preserve">The national average </w:t>
      </w:r>
      <w:r w:rsidRPr="003153CB">
        <w:rPr>
          <w:i/>
          <w:iCs/>
          <w:sz w:val="22"/>
          <w:szCs w:val="22"/>
        </w:rPr>
        <w:t>62-day referral threshold</w:t>
      </w:r>
      <w:r w:rsidRPr="003153CB">
        <w:rPr>
          <w:sz w:val="22"/>
          <w:szCs w:val="22"/>
        </w:rPr>
        <w:t xml:space="preserve"> performance for England is 67% (2). On average Greater London healthcare trusts over the </w:t>
      </w:r>
      <w:r w:rsidR="00D83E18" w:rsidRPr="003153CB">
        <w:rPr>
          <w:sz w:val="22"/>
          <w:szCs w:val="22"/>
        </w:rPr>
        <w:t>four-year</w:t>
      </w:r>
      <w:r w:rsidRPr="003153CB">
        <w:rPr>
          <w:sz w:val="22"/>
          <w:szCs w:val="22"/>
        </w:rPr>
        <w:t xml:space="preserve"> period reached just above the national average at 69.58%. </w:t>
      </w:r>
      <w:r w:rsidR="00D83E18" w:rsidRPr="003153CB">
        <w:rPr>
          <w:sz w:val="22"/>
          <w:szCs w:val="22"/>
        </w:rPr>
        <w:t xml:space="preserve">However, as noted above, the performance scores between each trust varies greatly between the national average, with the bottom five healthcare trusts failing to meet the national average. It is important to note that the national average likely includes suspected cancer case performance along with confirmed. This inclusion likely limits comparability between this reports measure of performance and the national average. </w:t>
      </w:r>
    </w:p>
    <w:p w14:paraId="5938D833" w14:textId="31953B88" w:rsidR="00A25465" w:rsidRPr="003153CB" w:rsidRDefault="00A25465" w:rsidP="00022D5F">
      <w:pPr>
        <w:rPr>
          <w:b/>
          <w:bCs/>
          <w:i/>
          <w:iCs/>
          <w:sz w:val="22"/>
          <w:szCs w:val="22"/>
        </w:rPr>
      </w:pPr>
      <w:r w:rsidRPr="003153CB">
        <w:rPr>
          <w:b/>
          <w:bCs/>
          <w:i/>
          <w:iCs/>
          <w:sz w:val="22"/>
          <w:szCs w:val="22"/>
        </w:rPr>
        <w:t xml:space="preserve">“How do NHS Greater London healthcare trusts vary in their 62-day referral 85% threshold target </w:t>
      </w:r>
      <w:r w:rsidR="0038247D" w:rsidRPr="003153CB">
        <w:rPr>
          <w:b/>
          <w:bCs/>
          <w:i/>
          <w:iCs/>
          <w:sz w:val="22"/>
          <w:szCs w:val="22"/>
        </w:rPr>
        <w:t>performance</w:t>
      </w:r>
      <w:r w:rsidR="0038247D" w:rsidRPr="003153CB">
        <w:rPr>
          <w:b/>
          <w:bCs/>
          <w:i/>
          <w:iCs/>
          <w:sz w:val="22"/>
          <w:szCs w:val="22"/>
        </w:rPr>
        <w:t xml:space="preserve"> </w:t>
      </w:r>
      <w:r w:rsidRPr="003153CB">
        <w:rPr>
          <w:b/>
          <w:bCs/>
          <w:i/>
          <w:iCs/>
          <w:sz w:val="22"/>
          <w:szCs w:val="22"/>
        </w:rPr>
        <w:t>amongst patients with a confirmed cancer diagnosis over time?”.</w:t>
      </w:r>
    </w:p>
    <w:p w14:paraId="752E2C22" w14:textId="5C048B1B" w:rsidR="00102BD9" w:rsidRPr="003153CB" w:rsidRDefault="00102BD9" w:rsidP="00022D5F">
      <w:pPr>
        <w:rPr>
          <w:sz w:val="22"/>
          <w:szCs w:val="22"/>
        </w:rPr>
      </w:pPr>
      <w:r w:rsidRPr="003153CB">
        <w:rPr>
          <w:sz w:val="22"/>
          <w:szCs w:val="22"/>
        </w:rPr>
        <w:t xml:space="preserve">Epsom and St Helier University Hospital, the top performing Greater London healthcare trust, experienced a number of dips in performance over the study period, notably between Dec-Feb 2022/2023 and Aug-Oct 2024. A number of trusts display a similar dip between Dec-Feb 2022/2023, with a decline in performance ten of the eighteen Greater London trusts during the </w:t>
      </w:r>
      <w:r w:rsidR="00C4737C" w:rsidRPr="003153CB">
        <w:rPr>
          <w:sz w:val="22"/>
          <w:szCs w:val="22"/>
        </w:rPr>
        <w:t xml:space="preserve">same </w:t>
      </w:r>
      <w:r w:rsidRPr="003153CB">
        <w:rPr>
          <w:sz w:val="22"/>
          <w:szCs w:val="22"/>
        </w:rPr>
        <w:t xml:space="preserve">period (Croydon Health Services, The Hillingdon Hospital, The London North West University Hospital, The Royal Free London, St George’s University Hospital, Barking, Havering, and Redbridge Hospital, King’s College Hospital, Guy’s and St Thomas’, Chelsea and Westminster Hospital, and University College London Hospital). </w:t>
      </w:r>
    </w:p>
    <w:p w14:paraId="048FE07B" w14:textId="4AF733B0" w:rsidR="00C4737C" w:rsidRPr="003153CB" w:rsidRDefault="0038247D" w:rsidP="00102BD9">
      <w:pPr>
        <w:rPr>
          <w:sz w:val="22"/>
          <w:szCs w:val="22"/>
        </w:rPr>
      </w:pPr>
      <w:r w:rsidRPr="003153CB">
        <w:rPr>
          <w:sz w:val="22"/>
          <w:szCs w:val="22"/>
        </w:rPr>
        <w:lastRenderedPageBreak/>
        <w:t xml:space="preserve">Generally, </w:t>
      </w:r>
      <w:r w:rsidRPr="003153CB">
        <w:rPr>
          <w:sz w:val="22"/>
          <w:szCs w:val="22"/>
        </w:rPr>
        <w:t>NHS Greater London healthcare trusts</w:t>
      </w:r>
      <w:r w:rsidRPr="003153CB">
        <w:rPr>
          <w:sz w:val="22"/>
          <w:szCs w:val="22"/>
        </w:rPr>
        <w:t xml:space="preserve"> </w:t>
      </w:r>
      <w:r w:rsidRPr="003153CB">
        <w:rPr>
          <w:sz w:val="22"/>
          <w:szCs w:val="22"/>
        </w:rPr>
        <w:t>62-day referral 85% threshold target performance</w:t>
      </w:r>
      <w:r w:rsidRPr="003153CB">
        <w:rPr>
          <w:sz w:val="22"/>
          <w:szCs w:val="22"/>
        </w:rPr>
        <w:t xml:space="preserve"> fluctuate between consistent borders of performance. A good example of this fluctuation between consistent values is London Northwest University. Performance in this trust can be seen to rise and fall </w:t>
      </w:r>
      <w:r w:rsidR="00CB0739" w:rsidRPr="003153CB">
        <w:rPr>
          <w:sz w:val="22"/>
          <w:szCs w:val="22"/>
        </w:rPr>
        <w:t xml:space="preserve">between 65%-80% throughout 2022 and 2023, followed by a dip outside of this region during Oct 2023, before rising once again into the 65%-80% region during 2024. A similar pattern of consistent change in performance can be seen in a number of other trusts such as Kingston Hospital and Guy’s and St Thomas’. However, not all trusts show this ebb and flow like </w:t>
      </w:r>
      <w:r w:rsidR="00C4737C" w:rsidRPr="003153CB">
        <w:rPr>
          <w:sz w:val="22"/>
          <w:szCs w:val="22"/>
        </w:rPr>
        <w:t>trend</w:t>
      </w:r>
      <w:r w:rsidR="00CB0739" w:rsidRPr="003153CB">
        <w:rPr>
          <w:sz w:val="22"/>
          <w:szCs w:val="22"/>
        </w:rPr>
        <w:t xml:space="preserve">. The Hillington Hospital for example suffered two large dips in performance in Jan 2023, at a point where the trust was experiencing a peak </w:t>
      </w:r>
      <w:r w:rsidR="00C4737C" w:rsidRPr="003153CB">
        <w:rPr>
          <w:sz w:val="22"/>
          <w:szCs w:val="22"/>
        </w:rPr>
        <w:t xml:space="preserve">in </w:t>
      </w:r>
      <w:r w:rsidR="00CB0739" w:rsidRPr="003153CB">
        <w:rPr>
          <w:sz w:val="22"/>
          <w:szCs w:val="22"/>
        </w:rPr>
        <w:t xml:space="preserve">caseload, and Jan 2024, </w:t>
      </w:r>
      <w:r w:rsidR="00102BD9" w:rsidRPr="003153CB">
        <w:rPr>
          <w:sz w:val="22"/>
          <w:szCs w:val="22"/>
        </w:rPr>
        <w:t xml:space="preserve">incidentally </w:t>
      </w:r>
      <w:r w:rsidR="00CB0739" w:rsidRPr="003153CB">
        <w:rPr>
          <w:sz w:val="22"/>
          <w:szCs w:val="22"/>
        </w:rPr>
        <w:t xml:space="preserve">at </w:t>
      </w:r>
      <w:r w:rsidR="00102BD9" w:rsidRPr="003153CB">
        <w:rPr>
          <w:sz w:val="22"/>
          <w:szCs w:val="22"/>
        </w:rPr>
        <w:t>the</w:t>
      </w:r>
      <w:r w:rsidR="00C4737C" w:rsidRPr="003153CB">
        <w:rPr>
          <w:sz w:val="22"/>
          <w:szCs w:val="22"/>
        </w:rPr>
        <w:t xml:space="preserve"> </w:t>
      </w:r>
      <w:r w:rsidR="00C4737C" w:rsidRPr="003153CB">
        <w:rPr>
          <w:sz w:val="22"/>
          <w:szCs w:val="22"/>
        </w:rPr>
        <w:t>point</w:t>
      </w:r>
      <w:r w:rsidR="00C4737C" w:rsidRPr="003153CB">
        <w:rPr>
          <w:sz w:val="22"/>
          <w:szCs w:val="22"/>
        </w:rPr>
        <w:t xml:space="preserve"> of</w:t>
      </w:r>
      <w:r w:rsidR="00102BD9" w:rsidRPr="003153CB">
        <w:rPr>
          <w:sz w:val="22"/>
          <w:szCs w:val="22"/>
        </w:rPr>
        <w:t xml:space="preserve"> </w:t>
      </w:r>
      <w:r w:rsidR="00102BD9" w:rsidRPr="003153CB">
        <w:rPr>
          <w:sz w:val="22"/>
          <w:szCs w:val="22"/>
        </w:rPr>
        <w:t>lowest</w:t>
      </w:r>
      <w:r w:rsidR="00102BD9" w:rsidRPr="003153CB">
        <w:rPr>
          <w:sz w:val="22"/>
          <w:szCs w:val="22"/>
        </w:rPr>
        <w:t xml:space="preserve"> caseload. Such a change may highlight a particular connection with performance and changes</w:t>
      </w:r>
      <w:r w:rsidR="00C4737C" w:rsidRPr="003153CB">
        <w:rPr>
          <w:sz w:val="22"/>
          <w:szCs w:val="22"/>
        </w:rPr>
        <w:t xml:space="preserve"> in patient numbers</w:t>
      </w:r>
      <w:r w:rsidR="00102BD9" w:rsidRPr="003153CB">
        <w:rPr>
          <w:sz w:val="22"/>
          <w:szCs w:val="22"/>
        </w:rPr>
        <w:t xml:space="preserve"> over time. </w:t>
      </w:r>
    </w:p>
    <w:p w14:paraId="1455B538" w14:textId="61F2A237" w:rsidR="004261ED" w:rsidRPr="003153CB" w:rsidRDefault="004261ED" w:rsidP="00102BD9">
      <w:pPr>
        <w:rPr>
          <w:sz w:val="20"/>
          <w:szCs w:val="20"/>
        </w:rPr>
      </w:pPr>
      <w:r w:rsidRPr="003153CB">
        <w:rPr>
          <w:sz w:val="20"/>
          <w:szCs w:val="20"/>
        </w:rPr>
        <w:t xml:space="preserve">Figure 2.0 </w:t>
      </w:r>
      <w:r w:rsidRPr="003153CB">
        <w:rPr>
          <w:sz w:val="20"/>
          <w:szCs w:val="20"/>
        </w:rPr>
        <w:t xml:space="preserve">The performance trend of the </w:t>
      </w:r>
      <w:r w:rsidRPr="003153CB">
        <w:rPr>
          <w:sz w:val="20"/>
          <w:szCs w:val="20"/>
        </w:rPr>
        <w:t xml:space="preserve">Hillingdon Hospital (Pink) </w:t>
      </w:r>
      <w:r w:rsidRPr="003153CB">
        <w:rPr>
          <w:sz w:val="20"/>
          <w:szCs w:val="20"/>
        </w:rPr>
        <w:t xml:space="preserve">over the data period of 2022-2025. 85% target line </w:t>
      </w:r>
      <w:r w:rsidRPr="003153CB">
        <w:rPr>
          <w:sz w:val="20"/>
          <w:szCs w:val="20"/>
        </w:rPr>
        <w:t xml:space="preserve">(Grey) </w:t>
      </w:r>
      <w:r w:rsidRPr="003153CB">
        <w:rPr>
          <w:sz w:val="20"/>
          <w:szCs w:val="20"/>
        </w:rPr>
        <w:t>alongside national 67% average</w:t>
      </w:r>
      <w:r w:rsidRPr="003153CB">
        <w:rPr>
          <w:sz w:val="20"/>
          <w:szCs w:val="20"/>
        </w:rPr>
        <w:t xml:space="preserve"> (</w:t>
      </w:r>
      <w:r w:rsidRPr="003153CB">
        <w:rPr>
          <w:sz w:val="20"/>
          <w:szCs w:val="20"/>
        </w:rPr>
        <w:t>England</w:t>
      </w:r>
      <w:r w:rsidRPr="003153CB">
        <w:rPr>
          <w:sz w:val="20"/>
          <w:szCs w:val="20"/>
        </w:rPr>
        <w:t>) (Grey)</w:t>
      </w:r>
      <w:r w:rsidRPr="003153CB">
        <w:rPr>
          <w:sz w:val="20"/>
          <w:szCs w:val="20"/>
        </w:rPr>
        <w:t xml:space="preserve">. </w:t>
      </w:r>
    </w:p>
    <w:p w14:paraId="5D4B3507" w14:textId="5E54E433" w:rsidR="004261ED" w:rsidRDefault="004261ED" w:rsidP="00102BD9">
      <w:pPr>
        <w:rPr>
          <w:rFonts w:ascii="Helvetica" w:hAnsi="Helvetica"/>
          <w:sz w:val="22"/>
          <w:szCs w:val="22"/>
        </w:rPr>
      </w:pPr>
      <w:r>
        <w:rPr>
          <w:rFonts w:ascii="Helvetica" w:hAnsi="Helvetica"/>
          <w:noProof/>
          <w:sz w:val="22"/>
          <w:szCs w:val="22"/>
        </w:rPr>
        <w:drawing>
          <wp:inline distT="0" distB="0" distL="0" distR="0" wp14:anchorId="79C350F1" wp14:editId="13D4E9BC">
            <wp:extent cx="3343275" cy="2623431"/>
            <wp:effectExtent l="0" t="0" r="0" b="5715"/>
            <wp:docPr id="605793123" name="Picture 4"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93123" name="Picture 4" descr="A graph with a line going up&#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7877" cy="2627042"/>
                    </a:xfrm>
                    <a:prstGeom prst="rect">
                      <a:avLst/>
                    </a:prstGeom>
                  </pic:spPr>
                </pic:pic>
              </a:graphicData>
            </a:graphic>
          </wp:inline>
        </w:drawing>
      </w:r>
    </w:p>
    <w:p w14:paraId="0A84D052" w14:textId="4B3EECD8" w:rsidR="004261ED" w:rsidRPr="003153CB" w:rsidRDefault="004261ED" w:rsidP="00102BD9">
      <w:pPr>
        <w:rPr>
          <w:sz w:val="20"/>
          <w:szCs w:val="20"/>
        </w:rPr>
      </w:pPr>
      <w:r w:rsidRPr="003153CB">
        <w:rPr>
          <w:sz w:val="20"/>
          <w:szCs w:val="20"/>
        </w:rPr>
        <w:t xml:space="preserve">Figure </w:t>
      </w:r>
      <w:r w:rsidRPr="003153CB">
        <w:rPr>
          <w:sz w:val="20"/>
          <w:szCs w:val="20"/>
        </w:rPr>
        <w:t>3</w:t>
      </w:r>
      <w:r w:rsidRPr="003153CB">
        <w:rPr>
          <w:sz w:val="20"/>
          <w:szCs w:val="20"/>
        </w:rPr>
        <w:t xml:space="preserve">.0 The </w:t>
      </w:r>
      <w:r w:rsidRPr="003153CB">
        <w:rPr>
          <w:sz w:val="20"/>
          <w:szCs w:val="20"/>
        </w:rPr>
        <w:t xml:space="preserve">total confirmed cancer patients’ </w:t>
      </w:r>
      <w:r w:rsidRPr="003153CB">
        <w:rPr>
          <w:sz w:val="20"/>
          <w:szCs w:val="20"/>
        </w:rPr>
        <w:t xml:space="preserve">trend of the Hillingdon Hospital (Pink) over the data period of 2022-2025. </w:t>
      </w:r>
    </w:p>
    <w:p w14:paraId="7D155788" w14:textId="69EEAB49" w:rsidR="004261ED" w:rsidRDefault="004261ED" w:rsidP="00102BD9">
      <w:pPr>
        <w:rPr>
          <w:rFonts w:ascii="Helvetica" w:hAnsi="Helvetica"/>
          <w:sz w:val="22"/>
          <w:szCs w:val="22"/>
        </w:rPr>
      </w:pPr>
      <w:r>
        <w:rPr>
          <w:rFonts w:ascii="Helvetica" w:hAnsi="Helvetica"/>
          <w:noProof/>
          <w:sz w:val="22"/>
          <w:szCs w:val="22"/>
        </w:rPr>
        <w:drawing>
          <wp:inline distT="0" distB="0" distL="0" distR="0" wp14:anchorId="042DF5F3" wp14:editId="048C4237">
            <wp:extent cx="3010886" cy="2500312"/>
            <wp:effectExtent l="0" t="0" r="0" b="1905"/>
            <wp:docPr id="1291426379"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26379" name="Picture 5" descr="A graph with a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7045" cy="2513731"/>
                    </a:xfrm>
                    <a:prstGeom prst="rect">
                      <a:avLst/>
                    </a:prstGeom>
                  </pic:spPr>
                </pic:pic>
              </a:graphicData>
            </a:graphic>
          </wp:inline>
        </w:drawing>
      </w:r>
    </w:p>
    <w:p w14:paraId="4C9ED633" w14:textId="77777777" w:rsidR="004261ED" w:rsidRDefault="004261ED" w:rsidP="00102BD9">
      <w:pPr>
        <w:rPr>
          <w:rFonts w:ascii="Helvetica" w:hAnsi="Helvetica"/>
          <w:sz w:val="22"/>
          <w:szCs w:val="22"/>
        </w:rPr>
      </w:pPr>
    </w:p>
    <w:p w14:paraId="689D4DDA" w14:textId="7AE6D540" w:rsidR="00102BD9" w:rsidRPr="003153CB" w:rsidRDefault="00102BD9" w:rsidP="00102BD9">
      <w:pPr>
        <w:rPr>
          <w:rFonts w:asciiTheme="majorHAnsi" w:hAnsiTheme="majorHAnsi"/>
          <w:sz w:val="22"/>
          <w:szCs w:val="22"/>
        </w:rPr>
      </w:pPr>
      <w:r w:rsidRPr="003153CB">
        <w:rPr>
          <w:rFonts w:asciiTheme="majorHAnsi" w:hAnsiTheme="majorHAnsi"/>
          <w:b/>
          <w:bCs/>
          <w:i/>
          <w:iCs/>
          <w:sz w:val="22"/>
          <w:szCs w:val="22"/>
        </w:rPr>
        <w:lastRenderedPageBreak/>
        <w:t>“How do the incidence of cancer amongst confirmed patients different between cancer type?”</w:t>
      </w:r>
    </w:p>
    <w:tbl>
      <w:tblPr>
        <w:tblStyle w:val="TableGrid"/>
        <w:tblW w:w="0" w:type="auto"/>
        <w:tblLook w:val="04A0" w:firstRow="1" w:lastRow="0" w:firstColumn="1" w:lastColumn="0" w:noHBand="0" w:noVBand="1"/>
      </w:tblPr>
      <w:tblGrid>
        <w:gridCol w:w="6516"/>
      </w:tblGrid>
      <w:tr w:rsidR="00102BD9" w:rsidRPr="003153CB" w14:paraId="5CF3EA54" w14:textId="77777777" w:rsidTr="0085401B">
        <w:tc>
          <w:tcPr>
            <w:tcW w:w="6516" w:type="dxa"/>
          </w:tcPr>
          <w:p w14:paraId="7944BC2C" w14:textId="42A5A13B" w:rsidR="00102BD9" w:rsidRPr="003153CB" w:rsidRDefault="00102BD9" w:rsidP="00022D5F">
            <w:pPr>
              <w:rPr>
                <w:sz w:val="21"/>
                <w:szCs w:val="21"/>
              </w:rPr>
            </w:pPr>
            <w:r w:rsidRPr="003153CB">
              <w:rPr>
                <w:sz w:val="21"/>
                <w:szCs w:val="21"/>
              </w:rPr>
              <w:t xml:space="preserve">Top 5 most prevalent </w:t>
            </w:r>
            <w:r w:rsidR="00C4737C" w:rsidRPr="003153CB">
              <w:rPr>
                <w:sz w:val="21"/>
                <w:szCs w:val="21"/>
              </w:rPr>
              <w:t xml:space="preserve">confirmed patient </w:t>
            </w:r>
            <w:r w:rsidRPr="003153CB">
              <w:rPr>
                <w:sz w:val="21"/>
                <w:szCs w:val="21"/>
              </w:rPr>
              <w:t>cancer types within Greater London Healthcare Trusts between 2022-2025</w:t>
            </w:r>
          </w:p>
        </w:tc>
      </w:tr>
      <w:tr w:rsidR="00102BD9" w:rsidRPr="003153CB" w14:paraId="632AF177" w14:textId="77777777" w:rsidTr="0085401B">
        <w:tc>
          <w:tcPr>
            <w:tcW w:w="6516" w:type="dxa"/>
          </w:tcPr>
          <w:p w14:paraId="14718C95" w14:textId="4BCB322E" w:rsidR="00102BD9" w:rsidRPr="003153CB" w:rsidRDefault="00102BD9" w:rsidP="00102BD9">
            <w:pPr>
              <w:pStyle w:val="ListParagraph"/>
              <w:numPr>
                <w:ilvl w:val="0"/>
                <w:numId w:val="4"/>
              </w:numPr>
              <w:rPr>
                <w:sz w:val="21"/>
                <w:szCs w:val="21"/>
              </w:rPr>
            </w:pPr>
            <w:r w:rsidRPr="003153CB">
              <w:rPr>
                <w:sz w:val="21"/>
                <w:szCs w:val="21"/>
              </w:rPr>
              <w:t xml:space="preserve">Breast cancer 15,309 </w:t>
            </w:r>
            <w:r w:rsidR="0085401B" w:rsidRPr="003153CB">
              <w:rPr>
                <w:sz w:val="21"/>
                <w:szCs w:val="21"/>
              </w:rPr>
              <w:t xml:space="preserve">patients </w:t>
            </w:r>
            <w:r w:rsidRPr="003153CB">
              <w:rPr>
                <w:sz w:val="21"/>
                <w:szCs w:val="21"/>
              </w:rPr>
              <w:t>(15.89% of total cancers.)</w:t>
            </w:r>
          </w:p>
        </w:tc>
      </w:tr>
      <w:tr w:rsidR="00102BD9" w:rsidRPr="003153CB" w14:paraId="65123658" w14:textId="77777777" w:rsidTr="0085401B">
        <w:tc>
          <w:tcPr>
            <w:tcW w:w="6516" w:type="dxa"/>
          </w:tcPr>
          <w:p w14:paraId="017E4B0F" w14:textId="0639656B" w:rsidR="00102BD9" w:rsidRPr="003153CB" w:rsidRDefault="00102BD9" w:rsidP="00102BD9">
            <w:pPr>
              <w:pStyle w:val="ListParagraph"/>
              <w:numPr>
                <w:ilvl w:val="0"/>
                <w:numId w:val="4"/>
              </w:numPr>
              <w:rPr>
                <w:sz w:val="21"/>
                <w:szCs w:val="21"/>
              </w:rPr>
            </w:pPr>
            <w:r w:rsidRPr="003153CB">
              <w:rPr>
                <w:sz w:val="21"/>
                <w:szCs w:val="21"/>
              </w:rPr>
              <w:t xml:space="preserve">Urological 12,245 </w:t>
            </w:r>
            <w:r w:rsidR="0085401B" w:rsidRPr="003153CB">
              <w:rPr>
                <w:sz w:val="21"/>
                <w:szCs w:val="21"/>
              </w:rPr>
              <w:t xml:space="preserve">patients </w:t>
            </w:r>
            <w:r w:rsidRPr="003153CB">
              <w:rPr>
                <w:sz w:val="21"/>
                <w:szCs w:val="21"/>
              </w:rPr>
              <w:t>(12.71% of total cancers)</w:t>
            </w:r>
          </w:p>
        </w:tc>
      </w:tr>
      <w:tr w:rsidR="00102BD9" w:rsidRPr="003153CB" w14:paraId="6B072BF7" w14:textId="77777777" w:rsidTr="0085401B">
        <w:tc>
          <w:tcPr>
            <w:tcW w:w="6516" w:type="dxa"/>
          </w:tcPr>
          <w:p w14:paraId="06BBBB25" w14:textId="7DBD6627" w:rsidR="00102BD9" w:rsidRPr="003153CB" w:rsidRDefault="00102BD9" w:rsidP="00102BD9">
            <w:pPr>
              <w:pStyle w:val="ListParagraph"/>
              <w:numPr>
                <w:ilvl w:val="0"/>
                <w:numId w:val="4"/>
              </w:numPr>
              <w:rPr>
                <w:sz w:val="21"/>
                <w:szCs w:val="21"/>
              </w:rPr>
            </w:pPr>
            <w:r w:rsidRPr="003153CB">
              <w:rPr>
                <w:sz w:val="21"/>
                <w:szCs w:val="21"/>
              </w:rPr>
              <w:t xml:space="preserve">Skin 11,107 </w:t>
            </w:r>
            <w:r w:rsidR="0085401B" w:rsidRPr="003153CB">
              <w:rPr>
                <w:sz w:val="21"/>
                <w:szCs w:val="21"/>
              </w:rPr>
              <w:t xml:space="preserve">patients </w:t>
            </w:r>
            <w:r w:rsidRPr="003153CB">
              <w:rPr>
                <w:sz w:val="21"/>
                <w:szCs w:val="21"/>
              </w:rPr>
              <w:t>(11.53% of total cancers)</w:t>
            </w:r>
          </w:p>
        </w:tc>
      </w:tr>
      <w:tr w:rsidR="00102BD9" w:rsidRPr="003153CB" w14:paraId="518C583A" w14:textId="77777777" w:rsidTr="0085401B">
        <w:tc>
          <w:tcPr>
            <w:tcW w:w="6516" w:type="dxa"/>
          </w:tcPr>
          <w:p w14:paraId="0D2EA569" w14:textId="7B1BA7D9" w:rsidR="00102BD9" w:rsidRPr="003153CB" w:rsidRDefault="00102BD9" w:rsidP="00102BD9">
            <w:pPr>
              <w:pStyle w:val="ListParagraph"/>
              <w:numPr>
                <w:ilvl w:val="0"/>
                <w:numId w:val="4"/>
              </w:numPr>
              <w:rPr>
                <w:sz w:val="21"/>
                <w:szCs w:val="21"/>
              </w:rPr>
            </w:pPr>
            <w:r w:rsidRPr="003153CB">
              <w:rPr>
                <w:sz w:val="21"/>
                <w:szCs w:val="21"/>
              </w:rPr>
              <w:t>Lung 10,521</w:t>
            </w:r>
            <w:r w:rsidR="0085401B" w:rsidRPr="003153CB">
              <w:rPr>
                <w:sz w:val="21"/>
                <w:szCs w:val="21"/>
              </w:rPr>
              <w:t xml:space="preserve"> patients</w:t>
            </w:r>
            <w:r w:rsidRPr="003153CB">
              <w:rPr>
                <w:sz w:val="21"/>
                <w:szCs w:val="21"/>
              </w:rPr>
              <w:t xml:space="preserve"> (10.92% of total cancers)</w:t>
            </w:r>
          </w:p>
        </w:tc>
      </w:tr>
      <w:tr w:rsidR="00102BD9" w:rsidRPr="003153CB" w14:paraId="733478F5" w14:textId="77777777" w:rsidTr="0085401B">
        <w:tc>
          <w:tcPr>
            <w:tcW w:w="6516" w:type="dxa"/>
          </w:tcPr>
          <w:p w14:paraId="102193EC" w14:textId="1B801DB4" w:rsidR="00102BD9" w:rsidRPr="003153CB" w:rsidRDefault="00102BD9" w:rsidP="00102BD9">
            <w:pPr>
              <w:pStyle w:val="ListParagraph"/>
              <w:numPr>
                <w:ilvl w:val="0"/>
                <w:numId w:val="4"/>
              </w:numPr>
              <w:rPr>
                <w:sz w:val="21"/>
                <w:szCs w:val="21"/>
              </w:rPr>
            </w:pPr>
            <w:r w:rsidRPr="003153CB">
              <w:rPr>
                <w:sz w:val="21"/>
                <w:szCs w:val="21"/>
              </w:rPr>
              <w:t>Lower Gastrointestinal 9,577</w:t>
            </w:r>
            <w:r w:rsidR="0085401B" w:rsidRPr="003153CB">
              <w:rPr>
                <w:sz w:val="21"/>
                <w:szCs w:val="21"/>
              </w:rPr>
              <w:t xml:space="preserve"> patients</w:t>
            </w:r>
            <w:r w:rsidRPr="003153CB">
              <w:rPr>
                <w:sz w:val="21"/>
                <w:szCs w:val="21"/>
              </w:rPr>
              <w:t xml:space="preserve"> (9.94% of total cancers)</w:t>
            </w:r>
          </w:p>
        </w:tc>
      </w:tr>
    </w:tbl>
    <w:p w14:paraId="7B5BFDCB" w14:textId="10A62522" w:rsidR="00766BCA" w:rsidRPr="003153CB" w:rsidRDefault="0085401B" w:rsidP="00022D5F">
      <w:pPr>
        <w:rPr>
          <w:sz w:val="22"/>
          <w:szCs w:val="22"/>
        </w:rPr>
      </w:pPr>
      <w:r w:rsidRPr="003153CB">
        <w:rPr>
          <w:sz w:val="22"/>
          <w:szCs w:val="22"/>
        </w:rPr>
        <w:t xml:space="preserve">In comparison to national figures of cancer occurrence by type, </w:t>
      </w:r>
      <w:r w:rsidR="00C4737C" w:rsidRPr="003153CB">
        <w:rPr>
          <w:sz w:val="22"/>
          <w:szCs w:val="22"/>
        </w:rPr>
        <w:t>this report’s findings</w:t>
      </w:r>
      <w:r w:rsidRPr="003153CB">
        <w:rPr>
          <w:sz w:val="22"/>
          <w:szCs w:val="22"/>
        </w:rPr>
        <w:t xml:space="preserve"> are consistent with the results of </w:t>
      </w:r>
      <w:r w:rsidRPr="003153CB">
        <w:rPr>
          <w:i/>
          <w:iCs/>
          <w:sz w:val="22"/>
          <w:szCs w:val="22"/>
        </w:rPr>
        <w:t>cancerresearchUK.org</w:t>
      </w:r>
      <w:r w:rsidRPr="003153CB">
        <w:rPr>
          <w:sz w:val="22"/>
          <w:szCs w:val="22"/>
        </w:rPr>
        <w:t xml:space="preserve"> estimations</w:t>
      </w:r>
      <w:r w:rsidR="00766BCA" w:rsidRPr="003153CB">
        <w:rPr>
          <w:sz w:val="22"/>
          <w:szCs w:val="22"/>
        </w:rPr>
        <w:t xml:space="preserve"> of the top five UK cancers:</w:t>
      </w:r>
    </w:p>
    <w:p w14:paraId="2A8BE0FA" w14:textId="77777777" w:rsidR="00766BCA" w:rsidRPr="003153CB" w:rsidRDefault="00766BCA" w:rsidP="00766BCA">
      <w:pPr>
        <w:pStyle w:val="ListParagraph"/>
        <w:numPr>
          <w:ilvl w:val="0"/>
          <w:numId w:val="5"/>
        </w:numPr>
        <w:rPr>
          <w:sz w:val="22"/>
          <w:szCs w:val="22"/>
        </w:rPr>
      </w:pPr>
      <w:r w:rsidRPr="003153CB">
        <w:rPr>
          <w:sz w:val="22"/>
          <w:szCs w:val="22"/>
        </w:rPr>
        <w:t xml:space="preserve">Breast </w:t>
      </w:r>
    </w:p>
    <w:p w14:paraId="5B6C40C0" w14:textId="77777777" w:rsidR="00766BCA" w:rsidRPr="003153CB" w:rsidRDefault="00766BCA" w:rsidP="00766BCA">
      <w:pPr>
        <w:pStyle w:val="ListParagraph"/>
        <w:numPr>
          <w:ilvl w:val="0"/>
          <w:numId w:val="5"/>
        </w:numPr>
        <w:rPr>
          <w:sz w:val="22"/>
          <w:szCs w:val="22"/>
        </w:rPr>
      </w:pPr>
      <w:r w:rsidRPr="003153CB">
        <w:rPr>
          <w:sz w:val="22"/>
          <w:szCs w:val="22"/>
        </w:rPr>
        <w:t>Prostate</w:t>
      </w:r>
    </w:p>
    <w:p w14:paraId="4D85BCC4" w14:textId="77777777" w:rsidR="00766BCA" w:rsidRPr="003153CB" w:rsidRDefault="00766BCA" w:rsidP="00766BCA">
      <w:pPr>
        <w:pStyle w:val="ListParagraph"/>
        <w:numPr>
          <w:ilvl w:val="0"/>
          <w:numId w:val="5"/>
        </w:numPr>
        <w:rPr>
          <w:sz w:val="22"/>
          <w:szCs w:val="22"/>
        </w:rPr>
      </w:pPr>
      <w:r w:rsidRPr="003153CB">
        <w:rPr>
          <w:sz w:val="22"/>
          <w:szCs w:val="22"/>
        </w:rPr>
        <w:t>Lung</w:t>
      </w:r>
    </w:p>
    <w:p w14:paraId="30FC311A" w14:textId="77777777" w:rsidR="00766BCA" w:rsidRPr="003153CB" w:rsidRDefault="00766BCA" w:rsidP="00766BCA">
      <w:pPr>
        <w:pStyle w:val="ListParagraph"/>
        <w:numPr>
          <w:ilvl w:val="0"/>
          <w:numId w:val="5"/>
        </w:numPr>
        <w:rPr>
          <w:sz w:val="22"/>
          <w:szCs w:val="22"/>
        </w:rPr>
      </w:pPr>
      <w:r w:rsidRPr="003153CB">
        <w:rPr>
          <w:sz w:val="22"/>
          <w:szCs w:val="22"/>
        </w:rPr>
        <w:t>Bowel</w:t>
      </w:r>
    </w:p>
    <w:p w14:paraId="09C4B5C8" w14:textId="0764C341" w:rsidR="0051333B" w:rsidRPr="003153CB" w:rsidRDefault="00766BCA" w:rsidP="00022D5F">
      <w:pPr>
        <w:pStyle w:val="ListParagraph"/>
        <w:numPr>
          <w:ilvl w:val="0"/>
          <w:numId w:val="5"/>
        </w:numPr>
        <w:rPr>
          <w:sz w:val="22"/>
          <w:szCs w:val="22"/>
        </w:rPr>
      </w:pPr>
      <w:r w:rsidRPr="003153CB">
        <w:rPr>
          <w:sz w:val="22"/>
          <w:szCs w:val="22"/>
        </w:rPr>
        <w:t xml:space="preserve">Melanoma Skin Cancer </w:t>
      </w:r>
      <w:r w:rsidR="0085401B" w:rsidRPr="003153CB">
        <w:rPr>
          <w:sz w:val="22"/>
          <w:szCs w:val="22"/>
        </w:rPr>
        <w:t xml:space="preserve"> </w:t>
      </w:r>
    </w:p>
    <w:p w14:paraId="0B480336" w14:textId="314D6F40" w:rsidR="00BD5859" w:rsidRPr="003153CB" w:rsidRDefault="00BD5859" w:rsidP="00BD5859">
      <w:pPr>
        <w:rPr>
          <w:rFonts w:asciiTheme="majorHAnsi" w:hAnsiTheme="majorHAnsi"/>
          <w:b/>
          <w:bCs/>
          <w:u w:val="single"/>
        </w:rPr>
      </w:pPr>
      <w:r w:rsidRPr="003153CB">
        <w:rPr>
          <w:rFonts w:asciiTheme="majorHAnsi" w:hAnsiTheme="majorHAnsi"/>
          <w:b/>
          <w:bCs/>
          <w:u w:val="single"/>
        </w:rPr>
        <w:t xml:space="preserve">Visualisation and Dashboard </w:t>
      </w:r>
    </w:p>
    <w:p w14:paraId="792C92FB" w14:textId="6724B253" w:rsidR="00BD5859" w:rsidRPr="003153CB" w:rsidRDefault="00BD5859" w:rsidP="00BD5859">
      <w:pPr>
        <w:rPr>
          <w:sz w:val="22"/>
          <w:szCs w:val="22"/>
        </w:rPr>
      </w:pPr>
      <w:r w:rsidRPr="003153CB">
        <w:rPr>
          <w:sz w:val="22"/>
          <w:szCs w:val="22"/>
        </w:rPr>
        <w:t xml:space="preserve">As part of this report an interactive dashboard was development to aid in the visualisation of this report’s findings. Through selecting each specific Greater London trust on the map on the bottom left-hand side of the dashboard, specific performance metrics, cancer type case incidence, and trend visualisations will be generated for the user. Additionally, by selecting a </w:t>
      </w:r>
      <w:r w:rsidRPr="003153CB">
        <w:rPr>
          <w:sz w:val="22"/>
          <w:szCs w:val="22"/>
        </w:rPr>
        <w:t>Greater London trust</w:t>
      </w:r>
      <w:r w:rsidRPr="003153CB">
        <w:rPr>
          <w:sz w:val="22"/>
          <w:szCs w:val="22"/>
        </w:rPr>
        <w:t xml:space="preserve"> on the coloured key just left of the map, the user will be shown trust performance and cancer type incidence in comparison to the other trusts. </w:t>
      </w:r>
    </w:p>
    <w:p w14:paraId="163B5FE5" w14:textId="2547A6B0" w:rsidR="00BD5859" w:rsidRPr="003153CB" w:rsidRDefault="00BD5859" w:rsidP="00BD5859">
      <w:pPr>
        <w:rPr>
          <w:sz w:val="22"/>
          <w:szCs w:val="22"/>
        </w:rPr>
      </w:pPr>
      <w:r w:rsidRPr="003153CB">
        <w:rPr>
          <w:sz w:val="22"/>
          <w:szCs w:val="22"/>
        </w:rPr>
        <w:t>All of this can be access via the tableau public link below:</w:t>
      </w:r>
    </w:p>
    <w:p w14:paraId="4BBBDC7D" w14:textId="6B19F948" w:rsidR="00BD5859" w:rsidRPr="003153CB" w:rsidRDefault="00337796" w:rsidP="00BD5859">
      <w:pPr>
        <w:rPr>
          <w:sz w:val="22"/>
          <w:szCs w:val="22"/>
        </w:rPr>
      </w:pPr>
      <w:hyperlink r:id="rId11" w:history="1">
        <w:r w:rsidRPr="003153CB">
          <w:rPr>
            <w:rStyle w:val="Hyperlink"/>
            <w:sz w:val="22"/>
            <w:szCs w:val="22"/>
          </w:rPr>
          <w:t xml:space="preserve"> </w:t>
        </w:r>
        <w:r w:rsidRPr="003153CB">
          <w:rPr>
            <w:rStyle w:val="Hyperlink"/>
            <w:sz w:val="22"/>
            <w:szCs w:val="22"/>
          </w:rPr>
          <w:t>Interactive Dashboard for NHS 62-day referral amongst confirmed cancer patients report</w:t>
        </w:r>
      </w:hyperlink>
    </w:p>
    <w:p w14:paraId="7DF32454" w14:textId="77777777" w:rsidR="002E1F08" w:rsidRDefault="002E1F08" w:rsidP="00BD5859">
      <w:pPr>
        <w:rPr>
          <w:rFonts w:ascii="Helvetica" w:hAnsi="Helvetica"/>
          <w:sz w:val="22"/>
          <w:szCs w:val="22"/>
        </w:rPr>
      </w:pPr>
    </w:p>
    <w:p w14:paraId="02C142F5" w14:textId="358F817C" w:rsidR="00337796" w:rsidRPr="003153CB" w:rsidRDefault="00900826" w:rsidP="00BD5859">
      <w:pPr>
        <w:rPr>
          <w:rFonts w:asciiTheme="majorHAnsi" w:hAnsiTheme="majorHAnsi"/>
          <w:b/>
          <w:bCs/>
          <w:u w:val="single"/>
        </w:rPr>
      </w:pPr>
      <w:r w:rsidRPr="003153CB">
        <w:rPr>
          <w:rFonts w:asciiTheme="majorHAnsi" w:hAnsiTheme="majorHAnsi"/>
          <w:b/>
          <w:bCs/>
          <w:u w:val="single"/>
        </w:rPr>
        <w:t>Key Takeaway Findings</w:t>
      </w:r>
    </w:p>
    <w:p w14:paraId="3D68FA5D" w14:textId="77777777" w:rsidR="00900826" w:rsidRPr="003153CB" w:rsidRDefault="00900826" w:rsidP="00900826">
      <w:pPr>
        <w:pStyle w:val="ListParagraph"/>
        <w:numPr>
          <w:ilvl w:val="0"/>
          <w:numId w:val="6"/>
        </w:numPr>
        <w:rPr>
          <w:sz w:val="22"/>
          <w:szCs w:val="22"/>
        </w:rPr>
      </w:pPr>
      <w:r w:rsidRPr="003153CB">
        <w:rPr>
          <w:sz w:val="22"/>
          <w:szCs w:val="22"/>
        </w:rPr>
        <w:t>Only one Greater London trust (Epsom and St Helier) came close to meeting the 85% 62-day referral target for confirmed cancer cases, averaging 84.97% over the study period.</w:t>
      </w:r>
    </w:p>
    <w:p w14:paraId="7F59A6EF" w14:textId="77777777" w:rsidR="00900826" w:rsidRPr="003153CB" w:rsidRDefault="00900826" w:rsidP="00900826">
      <w:pPr>
        <w:pStyle w:val="ListParagraph"/>
        <w:numPr>
          <w:ilvl w:val="0"/>
          <w:numId w:val="6"/>
        </w:numPr>
        <w:rPr>
          <w:sz w:val="22"/>
          <w:szCs w:val="22"/>
        </w:rPr>
      </w:pPr>
      <w:r w:rsidRPr="003153CB">
        <w:rPr>
          <w:sz w:val="22"/>
          <w:szCs w:val="22"/>
        </w:rPr>
        <w:t>The average performance across London trusts was 69.58%, slightly above the national average of 67%, though many trusts still performed below this benchmark.</w:t>
      </w:r>
    </w:p>
    <w:p w14:paraId="2D662745" w14:textId="77777777" w:rsidR="00900826" w:rsidRPr="003153CB" w:rsidRDefault="00900826" w:rsidP="00900826">
      <w:pPr>
        <w:pStyle w:val="ListParagraph"/>
        <w:numPr>
          <w:ilvl w:val="0"/>
          <w:numId w:val="6"/>
        </w:numPr>
        <w:rPr>
          <w:sz w:val="22"/>
          <w:szCs w:val="22"/>
        </w:rPr>
      </w:pPr>
      <w:r w:rsidRPr="003153CB">
        <w:rPr>
          <w:sz w:val="22"/>
          <w:szCs w:val="22"/>
        </w:rPr>
        <w:t>Several trusts showed seasonal dips in performance, particularly between December and February 2022/2023, indicating potential pressure points during winter months.</w:t>
      </w:r>
    </w:p>
    <w:p w14:paraId="42FD5310" w14:textId="77777777" w:rsidR="00900826" w:rsidRPr="003153CB" w:rsidRDefault="00900826" w:rsidP="00900826">
      <w:pPr>
        <w:pStyle w:val="ListParagraph"/>
        <w:numPr>
          <w:ilvl w:val="0"/>
          <w:numId w:val="6"/>
        </w:numPr>
        <w:rPr>
          <w:sz w:val="22"/>
          <w:szCs w:val="22"/>
        </w:rPr>
      </w:pPr>
      <w:r w:rsidRPr="003153CB">
        <w:rPr>
          <w:sz w:val="22"/>
          <w:szCs w:val="22"/>
        </w:rPr>
        <w:t>Cancer incidence distribution was led by breast, urological, skin, lung, and lower gastrointestinal cancers—mirroring national prevalence trends reported by Cancer Research UK.</w:t>
      </w:r>
    </w:p>
    <w:p w14:paraId="382FFED2" w14:textId="0B687438" w:rsidR="00337796" w:rsidRPr="003153CB" w:rsidRDefault="00900826" w:rsidP="00900826">
      <w:pPr>
        <w:pStyle w:val="ListParagraph"/>
        <w:numPr>
          <w:ilvl w:val="0"/>
          <w:numId w:val="6"/>
        </w:numPr>
        <w:rPr>
          <w:sz w:val="22"/>
          <w:szCs w:val="22"/>
        </w:rPr>
      </w:pPr>
      <w:r w:rsidRPr="003153CB">
        <w:rPr>
          <w:sz w:val="22"/>
          <w:szCs w:val="22"/>
        </w:rPr>
        <w:t>Performance varied significantly by trust, with a gap of over 35 percentage points between the highest and lowest performers, highlighting inequality in timely cancer care delivery.</w:t>
      </w:r>
    </w:p>
    <w:p w14:paraId="5623B6F5" w14:textId="77777777" w:rsidR="00900826" w:rsidRDefault="00900826" w:rsidP="00900826">
      <w:pPr>
        <w:ind w:left="360"/>
        <w:rPr>
          <w:rFonts w:ascii="Helvetica" w:hAnsi="Helvetica"/>
          <w:sz w:val="22"/>
          <w:szCs w:val="22"/>
        </w:rPr>
      </w:pPr>
    </w:p>
    <w:p w14:paraId="259D66FC" w14:textId="77777777" w:rsidR="00900826" w:rsidRPr="003153CB" w:rsidRDefault="00900826" w:rsidP="00900826">
      <w:pPr>
        <w:ind w:left="360"/>
        <w:rPr>
          <w:rFonts w:asciiTheme="majorHAnsi" w:hAnsiTheme="majorHAnsi"/>
          <w:b/>
          <w:bCs/>
          <w:u w:val="single"/>
        </w:rPr>
      </w:pPr>
      <w:r w:rsidRPr="003153CB">
        <w:rPr>
          <w:rFonts w:asciiTheme="majorHAnsi" w:hAnsiTheme="majorHAnsi"/>
          <w:b/>
          <w:bCs/>
          <w:u w:val="single"/>
        </w:rPr>
        <w:lastRenderedPageBreak/>
        <w:t>Conclusion</w:t>
      </w:r>
    </w:p>
    <w:p w14:paraId="286CA74F" w14:textId="40710FF5" w:rsidR="0003309E" w:rsidRPr="003153CB" w:rsidRDefault="00900826" w:rsidP="003153CB">
      <w:pPr>
        <w:ind w:left="360"/>
        <w:rPr>
          <w:sz w:val="22"/>
          <w:szCs w:val="22"/>
        </w:rPr>
      </w:pPr>
      <w:r w:rsidRPr="003153CB">
        <w:rPr>
          <w:sz w:val="22"/>
          <w:szCs w:val="22"/>
        </w:rPr>
        <w:t xml:space="preserve">This analysis </w:t>
      </w:r>
      <w:r w:rsidRPr="003153CB">
        <w:rPr>
          <w:sz w:val="22"/>
          <w:szCs w:val="22"/>
        </w:rPr>
        <w:t>highlights</w:t>
      </w:r>
      <w:r w:rsidRPr="003153CB">
        <w:rPr>
          <w:sz w:val="22"/>
          <w:szCs w:val="22"/>
        </w:rPr>
        <w:t xml:space="preserve"> the persistent challenge Greater London NHS trusts face in meeting the 62-day cancer treatment target, with wide variation in performance and consistent underachievement</w:t>
      </w:r>
      <w:r w:rsidRPr="003153CB">
        <w:rPr>
          <w:sz w:val="22"/>
          <w:szCs w:val="22"/>
        </w:rPr>
        <w:t>, that is consistent with national performance,</w:t>
      </w:r>
      <w:r w:rsidRPr="003153CB">
        <w:rPr>
          <w:sz w:val="22"/>
          <w:szCs w:val="22"/>
        </w:rPr>
        <w:t xml:space="preserve"> relative to the 85% goal. Whil</w:t>
      </w:r>
      <w:r w:rsidRPr="003153CB">
        <w:rPr>
          <w:sz w:val="22"/>
          <w:szCs w:val="22"/>
        </w:rPr>
        <w:t>e</w:t>
      </w:r>
      <w:r w:rsidRPr="003153CB">
        <w:rPr>
          <w:sz w:val="22"/>
          <w:szCs w:val="22"/>
        </w:rPr>
        <w:t xml:space="preserve"> London's collective performance slightly surpasses the national average, clear</w:t>
      </w:r>
      <w:r w:rsidRPr="003153CB">
        <w:rPr>
          <w:sz w:val="22"/>
          <w:szCs w:val="22"/>
        </w:rPr>
        <w:t xml:space="preserve"> performance</w:t>
      </w:r>
      <w:r w:rsidRPr="003153CB">
        <w:rPr>
          <w:sz w:val="22"/>
          <w:szCs w:val="22"/>
        </w:rPr>
        <w:t xml:space="preserve"> disparities </w:t>
      </w:r>
      <w:r w:rsidRPr="003153CB">
        <w:rPr>
          <w:sz w:val="22"/>
          <w:szCs w:val="22"/>
        </w:rPr>
        <w:t xml:space="preserve">exist </w:t>
      </w:r>
      <w:r w:rsidRPr="003153CB">
        <w:rPr>
          <w:sz w:val="22"/>
          <w:szCs w:val="22"/>
        </w:rPr>
        <w:t xml:space="preserve">between trusts and time periods. </w:t>
      </w:r>
      <w:r w:rsidRPr="003153CB">
        <w:rPr>
          <w:sz w:val="22"/>
          <w:szCs w:val="22"/>
        </w:rPr>
        <w:t xml:space="preserve">Further investigation is required into the weak points </w:t>
      </w:r>
      <w:r w:rsidRPr="003153CB">
        <w:rPr>
          <w:sz w:val="22"/>
          <w:szCs w:val="22"/>
        </w:rPr>
        <w:t>surrounding</w:t>
      </w:r>
      <w:r w:rsidRPr="003153CB">
        <w:rPr>
          <w:sz w:val="22"/>
          <w:szCs w:val="22"/>
        </w:rPr>
        <w:t xml:space="preserve"> both general and trust specific pathways before </w:t>
      </w:r>
      <w:r w:rsidR="003153CB" w:rsidRPr="003153CB">
        <w:rPr>
          <w:sz w:val="22"/>
          <w:szCs w:val="22"/>
        </w:rPr>
        <w:t>widespread</w:t>
      </w:r>
      <w:r w:rsidRPr="003153CB">
        <w:rPr>
          <w:sz w:val="22"/>
          <w:szCs w:val="22"/>
        </w:rPr>
        <w:t xml:space="preserve"> meeting of the </w:t>
      </w:r>
      <w:r w:rsidRPr="003153CB">
        <w:rPr>
          <w:sz w:val="22"/>
          <w:szCs w:val="22"/>
        </w:rPr>
        <w:t xml:space="preserve">85% </w:t>
      </w:r>
      <w:r w:rsidRPr="003153CB">
        <w:rPr>
          <w:sz w:val="22"/>
          <w:szCs w:val="22"/>
        </w:rPr>
        <w:t xml:space="preserve">threshold is likely to be achieved. </w:t>
      </w:r>
    </w:p>
    <w:p w14:paraId="1ECB36E4" w14:textId="77777777" w:rsidR="0003309E" w:rsidRDefault="0003309E" w:rsidP="00022D5F">
      <w:pPr>
        <w:rPr>
          <w:rFonts w:ascii="Helvetica" w:hAnsi="Helvetica"/>
          <w:sz w:val="22"/>
          <w:szCs w:val="22"/>
        </w:rPr>
      </w:pPr>
    </w:p>
    <w:p w14:paraId="472A2628" w14:textId="05E5964C" w:rsidR="00022D5F" w:rsidRPr="0003309E" w:rsidRDefault="0003309E" w:rsidP="0003309E">
      <w:pPr>
        <w:pStyle w:val="ListParagraph"/>
        <w:numPr>
          <w:ilvl w:val="0"/>
          <w:numId w:val="3"/>
        </w:numPr>
        <w:rPr>
          <w:rFonts w:ascii="Helvetica" w:hAnsi="Helvetica"/>
          <w:sz w:val="22"/>
          <w:szCs w:val="22"/>
        </w:rPr>
      </w:pPr>
      <w:r w:rsidRPr="0003309E">
        <w:rPr>
          <w:rFonts w:ascii="Helvetica" w:hAnsi="Helvetica"/>
          <w:sz w:val="22"/>
          <w:szCs w:val="22"/>
        </w:rPr>
        <w:t>https://www.nuffieldtrust.org.uk/resource/cancer-waiting-time-targets</w:t>
      </w:r>
    </w:p>
    <w:sectPr w:rsidR="00022D5F" w:rsidRPr="00033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D75EE"/>
    <w:multiLevelType w:val="hybridMultilevel"/>
    <w:tmpl w:val="228A7D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0A6082"/>
    <w:multiLevelType w:val="hybridMultilevel"/>
    <w:tmpl w:val="C2E8D152"/>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622784"/>
    <w:multiLevelType w:val="hybridMultilevel"/>
    <w:tmpl w:val="133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B1097D"/>
    <w:multiLevelType w:val="hybridMultilevel"/>
    <w:tmpl w:val="9C66A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03590F"/>
    <w:multiLevelType w:val="hybridMultilevel"/>
    <w:tmpl w:val="5FDCE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95DB1"/>
    <w:multiLevelType w:val="hybridMultilevel"/>
    <w:tmpl w:val="CE6EF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803D82"/>
    <w:multiLevelType w:val="hybridMultilevel"/>
    <w:tmpl w:val="B71A1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746584">
    <w:abstractNumId w:val="6"/>
  </w:num>
  <w:num w:numId="2" w16cid:durableId="967050949">
    <w:abstractNumId w:val="1"/>
  </w:num>
  <w:num w:numId="3" w16cid:durableId="1173958347">
    <w:abstractNumId w:val="3"/>
  </w:num>
  <w:num w:numId="4" w16cid:durableId="310788696">
    <w:abstractNumId w:val="5"/>
  </w:num>
  <w:num w:numId="5" w16cid:durableId="1904833638">
    <w:abstractNumId w:val="4"/>
  </w:num>
  <w:num w:numId="6" w16cid:durableId="902330596">
    <w:abstractNumId w:val="2"/>
  </w:num>
  <w:num w:numId="7" w16cid:durableId="43687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56"/>
    <w:rsid w:val="00022D5F"/>
    <w:rsid w:val="0003309E"/>
    <w:rsid w:val="0005117E"/>
    <w:rsid w:val="00102BD9"/>
    <w:rsid w:val="001C0B15"/>
    <w:rsid w:val="002E1F08"/>
    <w:rsid w:val="003153CB"/>
    <w:rsid w:val="00337796"/>
    <w:rsid w:val="00345D5A"/>
    <w:rsid w:val="00364B11"/>
    <w:rsid w:val="0038247D"/>
    <w:rsid w:val="003C0B88"/>
    <w:rsid w:val="004261ED"/>
    <w:rsid w:val="0051333B"/>
    <w:rsid w:val="00555F00"/>
    <w:rsid w:val="00584E32"/>
    <w:rsid w:val="005D4EF2"/>
    <w:rsid w:val="00614C11"/>
    <w:rsid w:val="006915C3"/>
    <w:rsid w:val="0076031D"/>
    <w:rsid w:val="00766BCA"/>
    <w:rsid w:val="0085401B"/>
    <w:rsid w:val="00900826"/>
    <w:rsid w:val="009629C0"/>
    <w:rsid w:val="009A44BD"/>
    <w:rsid w:val="00A25465"/>
    <w:rsid w:val="00A52458"/>
    <w:rsid w:val="00AE0780"/>
    <w:rsid w:val="00AE7EB7"/>
    <w:rsid w:val="00B434F3"/>
    <w:rsid w:val="00BD5859"/>
    <w:rsid w:val="00C4737C"/>
    <w:rsid w:val="00C50554"/>
    <w:rsid w:val="00C638B1"/>
    <w:rsid w:val="00CB0739"/>
    <w:rsid w:val="00D83E18"/>
    <w:rsid w:val="00DD484F"/>
    <w:rsid w:val="00DF3656"/>
    <w:rsid w:val="00EE0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F4E202"/>
  <w15:chartTrackingRefBased/>
  <w15:docId w15:val="{F6941185-B739-124A-8A6D-7BD06163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656"/>
    <w:rPr>
      <w:rFonts w:eastAsiaTheme="majorEastAsia" w:cstheme="majorBidi"/>
      <w:color w:val="272727" w:themeColor="text1" w:themeTint="D8"/>
    </w:rPr>
  </w:style>
  <w:style w:type="paragraph" w:styleId="Title">
    <w:name w:val="Title"/>
    <w:basedOn w:val="Normal"/>
    <w:next w:val="Normal"/>
    <w:link w:val="TitleChar"/>
    <w:uiPriority w:val="10"/>
    <w:qFormat/>
    <w:rsid w:val="00DF3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656"/>
    <w:pPr>
      <w:spacing w:before="160"/>
      <w:jc w:val="center"/>
    </w:pPr>
    <w:rPr>
      <w:i/>
      <w:iCs/>
      <w:color w:val="404040" w:themeColor="text1" w:themeTint="BF"/>
    </w:rPr>
  </w:style>
  <w:style w:type="character" w:customStyle="1" w:styleId="QuoteChar">
    <w:name w:val="Quote Char"/>
    <w:basedOn w:val="DefaultParagraphFont"/>
    <w:link w:val="Quote"/>
    <w:uiPriority w:val="29"/>
    <w:rsid w:val="00DF3656"/>
    <w:rPr>
      <w:i/>
      <w:iCs/>
      <w:color w:val="404040" w:themeColor="text1" w:themeTint="BF"/>
    </w:rPr>
  </w:style>
  <w:style w:type="paragraph" w:styleId="ListParagraph">
    <w:name w:val="List Paragraph"/>
    <w:basedOn w:val="Normal"/>
    <w:uiPriority w:val="34"/>
    <w:qFormat/>
    <w:rsid w:val="00DF3656"/>
    <w:pPr>
      <w:ind w:left="720"/>
      <w:contextualSpacing/>
    </w:pPr>
  </w:style>
  <w:style w:type="character" w:styleId="IntenseEmphasis">
    <w:name w:val="Intense Emphasis"/>
    <w:basedOn w:val="DefaultParagraphFont"/>
    <w:uiPriority w:val="21"/>
    <w:qFormat/>
    <w:rsid w:val="00DF3656"/>
    <w:rPr>
      <w:i/>
      <w:iCs/>
      <w:color w:val="0F4761" w:themeColor="accent1" w:themeShade="BF"/>
    </w:rPr>
  </w:style>
  <w:style w:type="paragraph" w:styleId="IntenseQuote">
    <w:name w:val="Intense Quote"/>
    <w:basedOn w:val="Normal"/>
    <w:next w:val="Normal"/>
    <w:link w:val="IntenseQuoteChar"/>
    <w:uiPriority w:val="30"/>
    <w:qFormat/>
    <w:rsid w:val="00DF3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656"/>
    <w:rPr>
      <w:i/>
      <w:iCs/>
      <w:color w:val="0F4761" w:themeColor="accent1" w:themeShade="BF"/>
    </w:rPr>
  </w:style>
  <w:style w:type="character" w:styleId="IntenseReference">
    <w:name w:val="Intense Reference"/>
    <w:basedOn w:val="DefaultParagraphFont"/>
    <w:uiPriority w:val="32"/>
    <w:qFormat/>
    <w:rsid w:val="00DF3656"/>
    <w:rPr>
      <w:b/>
      <w:bCs/>
      <w:smallCaps/>
      <w:color w:val="0F4761" w:themeColor="accent1" w:themeShade="BF"/>
      <w:spacing w:val="5"/>
    </w:rPr>
  </w:style>
  <w:style w:type="character" w:styleId="Hyperlink">
    <w:name w:val="Hyperlink"/>
    <w:basedOn w:val="DefaultParagraphFont"/>
    <w:uiPriority w:val="99"/>
    <w:unhideWhenUsed/>
    <w:rsid w:val="00AE0780"/>
    <w:rPr>
      <w:color w:val="467886" w:themeColor="hyperlink"/>
      <w:u w:val="single"/>
    </w:rPr>
  </w:style>
  <w:style w:type="character" w:styleId="UnresolvedMention">
    <w:name w:val="Unresolved Mention"/>
    <w:basedOn w:val="DefaultParagraphFont"/>
    <w:uiPriority w:val="99"/>
    <w:semiHidden/>
    <w:unhideWhenUsed/>
    <w:rsid w:val="00AE0780"/>
    <w:rPr>
      <w:color w:val="605E5C"/>
      <w:shd w:val="clear" w:color="auto" w:fill="E1DFDD"/>
    </w:rPr>
  </w:style>
  <w:style w:type="character" w:styleId="FollowedHyperlink">
    <w:name w:val="FollowedHyperlink"/>
    <w:basedOn w:val="DefaultParagraphFont"/>
    <w:uiPriority w:val="99"/>
    <w:semiHidden/>
    <w:unhideWhenUsed/>
    <w:rsid w:val="00AE0780"/>
    <w:rPr>
      <w:color w:val="96607D" w:themeColor="followedHyperlink"/>
      <w:u w:val="single"/>
    </w:rPr>
  </w:style>
  <w:style w:type="table" w:styleId="TableGrid">
    <w:name w:val="Table Grid"/>
    <w:basedOn w:val="TableNormal"/>
    <w:uiPriority w:val="39"/>
    <w:rsid w:val="00C63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816077">
      <w:bodyDiv w:val="1"/>
      <w:marLeft w:val="0"/>
      <w:marRight w:val="0"/>
      <w:marTop w:val="0"/>
      <w:marBottom w:val="0"/>
      <w:divBdr>
        <w:top w:val="none" w:sz="0" w:space="0" w:color="auto"/>
        <w:left w:val="none" w:sz="0" w:space="0" w:color="auto"/>
        <w:bottom w:val="none" w:sz="0" w:space="0" w:color="auto"/>
        <w:right w:val="none" w:sz="0" w:space="0" w:color="auto"/>
      </w:divBdr>
    </w:div>
    <w:div w:id="174911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ndy1913/NHS_London_Cancer_62_day.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land.nhs.uk/statistics/statistical-work-areas/cancer-waiting-times/#cwt-statistics-up-to-september-2023" TargetMode="External"/><Relationship Id="rId11" Type="http://schemas.openxmlformats.org/officeDocument/2006/relationships/hyperlink" Target="https://public.tableau.com/views/Healthanalyticsdashboard/Dashboard1?:language=en-GB&amp;publish=yes&amp;:sid=&amp;:redirect=auth&amp;:display_count=n&amp;:origin=viz_share_link"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Ceilan Handy</dc:creator>
  <cp:keywords/>
  <dc:description/>
  <cp:lastModifiedBy>Ceilan Handy</cp:lastModifiedBy>
  <cp:revision>15</cp:revision>
  <dcterms:created xsi:type="dcterms:W3CDTF">2025-04-21T19:07:00Z</dcterms:created>
  <dcterms:modified xsi:type="dcterms:W3CDTF">2025-04-21T21:41:00Z</dcterms:modified>
</cp:coreProperties>
</file>