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6"/>
        </w:rPr>
        <w:t>LUMINUS TECHNICAL UNIVERSITY COLLEGE</w:t>
      </w:r>
    </w:p>
    <w:p>
      <w:pPr>
        <w:jc w:val="center"/>
      </w:pPr>
      <w:r>
        <w:rPr>
          <w:rFonts w:ascii="Arial" w:hAnsi="Arial"/>
          <w:sz w:val="22"/>
        </w:rPr>
        <w:t>Department of ASAC | Applied Analytical Models</w:t>
      </w:r>
    </w:p>
    <w:p/>
    <w:p>
      <w:pPr>
        <w:pStyle w:val="Title"/>
        <w:jc w:val="center"/>
      </w:pPr>
      <w:r>
        <w:t>NovaMart Customer Retention</w:t>
        <w:br/>
        <w:t>and Campaign Optimization</w:t>
      </w:r>
    </w:p>
    <w:p>
      <w:pPr>
        <w:jc w:val="center"/>
      </w:pPr>
      <w:r>
        <w:rPr>
          <w:rFonts w:ascii="Arial" w:hAnsi="Arial"/>
          <w:b/>
          <w:sz w:val="32"/>
        </w:rPr>
        <w:t>Final Course Project Report</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3F0"/>
          </w:tcPr>
          <w:p>
            <w:r/>
            <w:r>
              <w:rPr>
                <w:rFonts w:ascii="Arial" w:hAnsi="Arial"/>
                <w:b/>
                <w:sz w:val="18"/>
              </w:rPr>
              <w:t>Item</w:t>
            </w:r>
          </w:p>
        </w:tc>
        <w:tc>
          <w:tcPr>
            <w:tcW w:type="dxa" w:w="5112"/>
            <w:vAlign w:val="center"/>
            <w:shd w:fill="D9E3F0"/>
          </w:tcPr>
          <w:p>
            <w:r/>
            <w:r>
              <w:rPr>
                <w:rFonts w:ascii="Arial" w:hAnsi="Arial"/>
                <w:b/>
                <w:sz w:val="18"/>
              </w:rPr>
              <w:t>Details</w:t>
            </w:r>
          </w:p>
        </w:tc>
      </w:tr>
      <w:tr>
        <w:tc>
          <w:tcPr>
            <w:tcW w:type="dxa" w:w="5112"/>
            <w:vAlign w:val="center"/>
          </w:tcPr>
          <w:p>
            <w:r/>
            <w:r>
              <w:rPr>
                <w:rFonts w:ascii="Arial" w:hAnsi="Arial"/>
                <w:b w:val="0"/>
                <w:sz w:val="18"/>
              </w:rPr>
              <w:t>Course code</w:t>
            </w:r>
          </w:p>
        </w:tc>
        <w:tc>
          <w:tcPr>
            <w:tcW w:type="dxa" w:w="5112"/>
            <w:vAlign w:val="center"/>
          </w:tcPr>
          <w:p>
            <w:r/>
            <w:r>
              <w:rPr>
                <w:rFonts w:ascii="Arial" w:hAnsi="Arial"/>
                <w:b w:val="0"/>
                <w:sz w:val="18"/>
              </w:rPr>
              <w:t>30772343</w:t>
            </w:r>
          </w:p>
        </w:tc>
      </w:tr>
      <w:tr>
        <w:tc>
          <w:tcPr>
            <w:tcW w:type="dxa" w:w="5112"/>
            <w:vAlign w:val="center"/>
          </w:tcPr>
          <w:p>
            <w:r/>
            <w:r>
              <w:rPr>
                <w:rFonts w:ascii="Arial" w:hAnsi="Arial"/>
                <w:b w:val="0"/>
                <w:sz w:val="18"/>
              </w:rPr>
              <w:t>Project type</w:t>
            </w:r>
          </w:p>
        </w:tc>
        <w:tc>
          <w:tcPr>
            <w:tcW w:type="dxa" w:w="5112"/>
            <w:vAlign w:val="center"/>
          </w:tcPr>
          <w:p>
            <w:r/>
            <w:r>
              <w:rPr>
                <w:rFonts w:ascii="Arial" w:hAnsi="Arial"/>
                <w:b w:val="0"/>
                <w:sz w:val="18"/>
              </w:rPr>
              <w:t>Individual applied analytical modelling project</w:t>
            </w:r>
          </w:p>
        </w:tc>
      </w:tr>
      <w:tr>
        <w:tc>
          <w:tcPr>
            <w:tcW w:type="dxa" w:w="5112"/>
            <w:vAlign w:val="center"/>
          </w:tcPr>
          <w:p>
            <w:r/>
            <w:r>
              <w:rPr>
                <w:rFonts w:ascii="Arial" w:hAnsi="Arial"/>
                <w:b w:val="0"/>
                <w:sz w:val="18"/>
              </w:rPr>
              <w:t>Submission period</w:t>
            </w:r>
          </w:p>
        </w:tc>
        <w:tc>
          <w:tcPr>
            <w:tcW w:type="dxa" w:w="5112"/>
            <w:vAlign w:val="center"/>
          </w:tcPr>
          <w:p>
            <w:r/>
            <w:r>
              <w:rPr>
                <w:rFonts w:ascii="Arial" w:hAnsi="Arial"/>
                <w:b w:val="0"/>
                <w:sz w:val="18"/>
              </w:rPr>
              <w:t>September 2026</w:t>
            </w:r>
          </w:p>
        </w:tc>
      </w:tr>
      <w:tr>
        <w:tc>
          <w:tcPr>
            <w:tcW w:type="dxa" w:w="5112"/>
            <w:vAlign w:val="center"/>
          </w:tcPr>
          <w:p>
            <w:r/>
            <w:r>
              <w:rPr>
                <w:rFonts w:ascii="Arial" w:hAnsi="Arial"/>
                <w:b w:val="0"/>
                <w:sz w:val="18"/>
              </w:rPr>
              <w:t>Repository</w:t>
            </w:r>
          </w:p>
        </w:tc>
        <w:tc>
          <w:tcPr>
            <w:tcW w:type="dxa" w:w="5112"/>
            <w:vAlign w:val="center"/>
          </w:tcPr>
          <w:p>
            <w:r/>
            <w:r>
              <w:rPr>
                <w:rFonts w:ascii="Arial" w:hAnsi="Arial"/>
                <w:b w:val="0"/>
                <w:sz w:val="18"/>
              </w:rPr>
              <w:t>github.com/HaneenDahbour/novamart-customer-retention</w:t>
            </w:r>
          </w:p>
        </w:tc>
      </w:tr>
    </w:tbl>
    <w:p/>
    <w:p>
      <w:pPr>
        <w:jc w:val="center"/>
      </w:pPr>
      <w:r>
        <w:rPr>
          <w:i/>
          <w:sz w:val="20"/>
        </w:rPr>
        <w:t>End-to-end analytical workflow: data quality -&gt; descriptive analytics -&gt; predictive modelling -&gt; model improvement -&gt; customer scoring -&gt; retention optimization</w:t>
      </w:r>
    </w:p>
    <w:p>
      <w:r>
        <w:br w:type="page"/>
      </w:r>
    </w:p>
    <w:p>
      <w:pPr>
        <w:pStyle w:val="Heading1"/>
      </w:pPr>
      <w:r>
        <w:t>Executive Summary</w:t>
      </w:r>
    </w:p>
    <w:p>
      <w:r>
        <w:t>NovaMart is a Jordanian retailer operating through physical stores and an online platform. The project analyzes historical customer behaviour, develops a churn model, scores current customers, and converts predicted churn risk into a retention campaign constrained by business economics.</w:t>
      </w:r>
    </w:p>
    <w:p>
      <w:r>
        <w:t>After cleaning, the historical dataset contained 1,200 unique customers. The overall historical churn rate was 20.83%. Exploratory analysis found the strongest practical churn signals around purchase recency, complaints, support demand, lower satisfaction, weaker email engagement, and lack of prior campaign response.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3F0"/>
          </w:tcPr>
          <w:p>
            <w:r/>
            <w:r>
              <w:rPr>
                <w:rFonts w:ascii="Arial" w:hAnsi="Arial"/>
                <w:b/>
                <w:sz w:val="17"/>
              </w:rPr>
              <w:t>Key result</w:t>
            </w:r>
          </w:p>
        </w:tc>
        <w:tc>
          <w:tcPr>
            <w:tcW w:type="dxa" w:w="3408"/>
            <w:vAlign w:val="center"/>
            <w:shd w:fill="D9E3F0"/>
          </w:tcPr>
          <w:p>
            <w:r/>
            <w:r>
              <w:rPr>
                <w:rFonts w:ascii="Arial" w:hAnsi="Arial"/>
                <w:b/>
                <w:sz w:val="17"/>
              </w:rPr>
              <w:t>Value</w:t>
            </w:r>
          </w:p>
        </w:tc>
        <w:tc>
          <w:tcPr>
            <w:tcW w:type="dxa" w:w="3408"/>
            <w:vAlign w:val="center"/>
            <w:shd w:fill="D9E3F0"/>
          </w:tcPr>
          <w:p>
            <w:r/>
            <w:r>
              <w:rPr>
                <w:rFonts w:ascii="Arial" w:hAnsi="Arial"/>
                <w:b/>
                <w:sz w:val="17"/>
              </w:rPr>
              <w:t>Business meaning</w:t>
            </w:r>
          </w:p>
        </w:tc>
      </w:tr>
      <w:tr>
        <w:tc>
          <w:tcPr>
            <w:tcW w:type="dxa" w:w="3408"/>
            <w:vAlign w:val="center"/>
          </w:tcPr>
          <w:p>
            <w:r/>
            <w:r>
              <w:rPr>
                <w:rFonts w:ascii="Arial" w:hAnsi="Arial"/>
                <w:b w:val="0"/>
                <w:sz w:val="17"/>
              </w:rPr>
              <w:t>Final model</w:t>
            </w:r>
          </w:p>
        </w:tc>
        <w:tc>
          <w:tcPr>
            <w:tcW w:type="dxa" w:w="3408"/>
            <w:vAlign w:val="center"/>
          </w:tcPr>
          <w:p>
            <w:r/>
            <w:r>
              <w:rPr>
                <w:rFonts w:ascii="Arial" w:hAnsi="Arial"/>
                <w:b w:val="0"/>
                <w:sz w:val="17"/>
              </w:rPr>
              <w:t>Class-weighted Logistic Regression</w:t>
            </w:r>
          </w:p>
        </w:tc>
        <w:tc>
          <w:tcPr>
            <w:tcW w:type="dxa" w:w="3408"/>
            <w:vAlign w:val="center"/>
          </w:tcPr>
          <w:p>
            <w:r/>
            <w:r>
              <w:rPr>
                <w:rFonts w:ascii="Arial" w:hAnsi="Arial"/>
                <w:b w:val="0"/>
                <w:sz w:val="17"/>
              </w:rPr>
              <w:t>Higher churn recall with stable generalization</w:t>
            </w:r>
          </w:p>
        </w:tc>
      </w:tr>
      <w:tr>
        <w:tc>
          <w:tcPr>
            <w:tcW w:type="dxa" w:w="3408"/>
            <w:vAlign w:val="center"/>
          </w:tcPr>
          <w:p>
            <w:r/>
            <w:r>
              <w:rPr>
                <w:rFonts w:ascii="Arial" w:hAnsi="Arial"/>
                <w:b w:val="0"/>
                <w:sz w:val="17"/>
              </w:rPr>
              <w:t>Held-out ROC-AUC</w:t>
            </w:r>
          </w:p>
        </w:tc>
        <w:tc>
          <w:tcPr>
            <w:tcW w:type="dxa" w:w="3408"/>
            <w:vAlign w:val="center"/>
          </w:tcPr>
          <w:p>
            <w:r/>
            <w:r>
              <w:rPr>
                <w:rFonts w:ascii="Arial" w:hAnsi="Arial"/>
                <w:b w:val="0"/>
                <w:sz w:val="17"/>
              </w:rPr>
              <w:t>0.7822</w:t>
            </w:r>
          </w:p>
        </w:tc>
        <w:tc>
          <w:tcPr>
            <w:tcW w:type="dxa" w:w="3408"/>
            <w:vAlign w:val="center"/>
          </w:tcPr>
          <w:p>
            <w:r/>
            <w:r>
              <w:rPr>
                <w:rFonts w:ascii="Arial" w:hAnsi="Arial"/>
                <w:b w:val="0"/>
                <w:sz w:val="17"/>
              </w:rPr>
              <w:t>Good ranking of higher-risk vs lower-risk customers</w:t>
            </w:r>
          </w:p>
        </w:tc>
      </w:tr>
      <w:tr>
        <w:tc>
          <w:tcPr>
            <w:tcW w:type="dxa" w:w="3408"/>
            <w:vAlign w:val="center"/>
          </w:tcPr>
          <w:p>
            <w:r/>
            <w:r>
              <w:rPr>
                <w:rFonts w:ascii="Arial" w:hAnsi="Arial"/>
                <w:b w:val="0"/>
                <w:sz w:val="17"/>
              </w:rPr>
              <w:t>Held-out recall</w:t>
            </w:r>
          </w:p>
        </w:tc>
        <w:tc>
          <w:tcPr>
            <w:tcW w:type="dxa" w:w="3408"/>
            <w:vAlign w:val="center"/>
          </w:tcPr>
          <w:p>
            <w:r/>
            <w:r>
              <w:rPr>
                <w:rFonts w:ascii="Arial" w:hAnsi="Arial"/>
                <w:b w:val="0"/>
                <w:sz w:val="17"/>
              </w:rPr>
              <w:t>68.0%</w:t>
            </w:r>
          </w:p>
        </w:tc>
        <w:tc>
          <w:tcPr>
            <w:tcW w:type="dxa" w:w="3408"/>
            <w:vAlign w:val="center"/>
          </w:tcPr>
          <w:p>
            <w:r/>
            <w:r>
              <w:rPr>
                <w:rFonts w:ascii="Arial" w:hAnsi="Arial"/>
                <w:b w:val="0"/>
                <w:sz w:val="17"/>
              </w:rPr>
              <w:t>Detected 34 of 50 churners in the test set</w:t>
            </w:r>
          </w:p>
        </w:tc>
      </w:tr>
      <w:tr>
        <w:tc>
          <w:tcPr>
            <w:tcW w:type="dxa" w:w="3408"/>
            <w:vAlign w:val="center"/>
          </w:tcPr>
          <w:p>
            <w:r/>
            <w:r>
              <w:rPr>
                <w:rFonts w:ascii="Arial" w:hAnsi="Arial"/>
                <w:b w:val="0"/>
                <w:sz w:val="17"/>
              </w:rPr>
              <w:t>Current customers scored</w:t>
            </w:r>
          </w:p>
        </w:tc>
        <w:tc>
          <w:tcPr>
            <w:tcW w:type="dxa" w:w="3408"/>
            <w:vAlign w:val="center"/>
          </w:tcPr>
          <w:p>
            <w:r/>
            <w:r>
              <w:rPr>
                <w:rFonts w:ascii="Arial" w:hAnsi="Arial"/>
                <w:b w:val="0"/>
                <w:sz w:val="17"/>
              </w:rPr>
              <w:t>300</w:t>
            </w:r>
          </w:p>
        </w:tc>
        <w:tc>
          <w:tcPr>
            <w:tcW w:type="dxa" w:w="3408"/>
            <w:vAlign w:val="center"/>
          </w:tcPr>
          <w:p>
            <w:r/>
            <w:r>
              <w:rPr>
                <w:rFonts w:ascii="Arial" w:hAnsi="Arial"/>
                <w:b w:val="0"/>
                <w:sz w:val="17"/>
              </w:rPr>
              <w:t>Full current customer base evaluated</w:t>
            </w:r>
          </w:p>
        </w:tc>
      </w:tr>
      <w:tr>
        <w:tc>
          <w:tcPr>
            <w:tcW w:type="dxa" w:w="3408"/>
            <w:vAlign w:val="center"/>
          </w:tcPr>
          <w:p>
            <w:r/>
            <w:r>
              <w:rPr>
                <w:rFonts w:ascii="Arial" w:hAnsi="Arial"/>
                <w:b w:val="0"/>
                <w:sz w:val="17"/>
              </w:rPr>
              <w:t>Predicted to churn</w:t>
            </w:r>
          </w:p>
        </w:tc>
        <w:tc>
          <w:tcPr>
            <w:tcW w:type="dxa" w:w="3408"/>
            <w:vAlign w:val="center"/>
          </w:tcPr>
          <w:p>
            <w:r/>
            <w:r>
              <w:rPr>
                <w:rFonts w:ascii="Arial" w:hAnsi="Arial"/>
                <w:b w:val="0"/>
                <w:sz w:val="17"/>
              </w:rPr>
              <w:t>105 (35.0%)</w:t>
            </w:r>
          </w:p>
        </w:tc>
        <w:tc>
          <w:tcPr>
            <w:tcW w:type="dxa" w:w="3408"/>
            <w:vAlign w:val="center"/>
          </w:tcPr>
          <w:p>
            <w:r/>
            <w:r>
              <w:rPr>
                <w:rFonts w:ascii="Arial" w:hAnsi="Arial"/>
                <w:b w:val="0"/>
                <w:sz w:val="17"/>
              </w:rPr>
              <w:t>Risk flagged using required 0.50 threshold</w:t>
            </w:r>
          </w:p>
        </w:tc>
      </w:tr>
      <w:tr>
        <w:tc>
          <w:tcPr>
            <w:tcW w:type="dxa" w:w="3408"/>
            <w:vAlign w:val="center"/>
          </w:tcPr>
          <w:p>
            <w:r/>
            <w:r>
              <w:rPr>
                <w:rFonts w:ascii="Arial" w:hAnsi="Arial"/>
                <w:b w:val="0"/>
                <w:sz w:val="17"/>
              </w:rPr>
              <w:t>Recommended campaign</w:t>
            </w:r>
          </w:p>
        </w:tc>
        <w:tc>
          <w:tcPr>
            <w:tcW w:type="dxa" w:w="3408"/>
            <w:vAlign w:val="center"/>
          </w:tcPr>
          <w:p>
            <w:r/>
            <w:r>
              <w:rPr>
                <w:rFonts w:ascii="Arial" w:hAnsi="Arial"/>
                <w:b w:val="0"/>
                <w:sz w:val="17"/>
              </w:rPr>
              <w:t>Top 50 eligible customers</w:t>
            </w:r>
          </w:p>
        </w:tc>
        <w:tc>
          <w:tcPr>
            <w:tcW w:type="dxa" w:w="3408"/>
            <w:vAlign w:val="center"/>
          </w:tcPr>
          <w:p>
            <w:r/>
            <w:r>
              <w:rPr>
                <w:rFonts w:ascii="Arial" w:hAnsi="Arial"/>
                <w:b w:val="0"/>
                <w:sz w:val="17"/>
              </w:rPr>
              <w:t>Highest expected net benefit under the supplied assumptions</w:t>
            </w:r>
          </w:p>
        </w:tc>
      </w:tr>
      <w:tr>
        <w:tc>
          <w:tcPr>
            <w:tcW w:type="dxa" w:w="3408"/>
            <w:vAlign w:val="center"/>
          </w:tcPr>
          <w:p>
            <w:r/>
            <w:r>
              <w:rPr>
                <w:rFonts w:ascii="Arial" w:hAnsi="Arial"/>
                <w:b w:val="0"/>
                <w:sz w:val="17"/>
              </w:rPr>
              <w:t>Expected campaign net benefit</w:t>
            </w:r>
          </w:p>
        </w:tc>
        <w:tc>
          <w:tcPr>
            <w:tcW w:type="dxa" w:w="3408"/>
            <w:vAlign w:val="center"/>
          </w:tcPr>
          <w:p>
            <w:r/>
            <w:r>
              <w:rPr>
                <w:rFonts w:ascii="Arial" w:hAnsi="Arial"/>
                <w:b w:val="0"/>
                <w:sz w:val="17"/>
              </w:rPr>
              <w:t>JD 7,609.35</w:t>
            </w:r>
          </w:p>
        </w:tc>
        <w:tc>
          <w:tcPr>
            <w:tcW w:type="dxa" w:w="3408"/>
            <w:vAlign w:val="center"/>
          </w:tcPr>
          <w:p>
            <w:r/>
            <w:r>
              <w:rPr>
                <w:rFonts w:ascii="Arial" w:hAnsi="Arial"/>
                <w:b w:val="0"/>
                <w:sz w:val="17"/>
              </w:rPr>
              <w:t>Model-based expected value, not a guaranteed outcome</w:t>
            </w:r>
          </w:p>
        </w:tc>
      </w:tr>
    </w:tbl>
    <w:p/>
    <w:p>
      <w:r>
        <w:rPr>
          <w:b/>
        </w:rPr>
        <w:t xml:space="preserve">Important limitation. </w:t>
      </w:r>
      <w:r>
        <w:t>The final weighted logistic model overestimates absolute churn probabilities on the held-out test set (mean predicted probability 43.87% vs observed churn 20.83%). Calibration improved probability reliability but reduced recall sharply at the assignment-mandated 0.50 threshold. Therefore financial outputs should be interpreted as model-based expected values under the supplied campaign assumptions.</w:t>
      </w:r>
    </w:p>
    <w:p>
      <w:r>
        <w:br w:type="page"/>
      </w:r>
    </w:p>
    <w:p>
      <w:pPr>
        <w:pStyle w:val="Heading1"/>
      </w:pPr>
      <w:r>
        <w:t>1. Business Problem and Objectives</w:t>
      </w:r>
    </w:p>
    <w:p>
      <w:r>
        <w:t>NovaMart management observed that some customers stop purchasing without warning. The analytical objective was to answer four business questions:</w:t>
      </w:r>
    </w:p>
    <w:p>
      <w:pPr>
        <w:pStyle w:val="ListNumber"/>
      </w:pPr>
      <w:r>
        <w:rPr>
          <w:rFonts w:ascii="Arial" w:hAnsi="Arial"/>
          <w:sz w:val="19"/>
        </w:rPr>
        <w:t>What happened in the historical customer data?</w:t>
      </w:r>
    </w:p>
    <w:p>
      <w:pPr>
        <w:pStyle w:val="ListNumber"/>
      </w:pPr>
      <w:r>
        <w:rPr>
          <w:rFonts w:ascii="Arial" w:hAnsi="Arial"/>
          <w:sz w:val="19"/>
        </w:rPr>
        <w:t>Which customer characteristics and behaviours are associated with churn?</w:t>
      </w:r>
    </w:p>
    <w:p>
      <w:pPr>
        <w:pStyle w:val="ListNumber"/>
      </w:pPr>
      <w:r>
        <w:rPr>
          <w:rFonts w:ascii="Arial" w:hAnsi="Arial"/>
          <w:sz w:val="19"/>
        </w:rPr>
        <w:t>Which current customers are most likely to churn?</w:t>
      </w:r>
    </w:p>
    <w:p>
      <w:pPr>
        <w:pStyle w:val="ListNumber"/>
      </w:pPr>
      <w:r>
        <w:rPr>
          <w:rFonts w:ascii="Arial" w:hAnsi="Arial"/>
          <w:sz w:val="19"/>
        </w:rPr>
        <w:t>How should NovaMart allocate a limited retention budget?</w:t>
      </w:r>
    </w:p>
    <w:p>
      <w:pPr>
        <w:pStyle w:val="Heading1"/>
      </w:pPr>
      <w:r>
        <w:t>2. Data Understanding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3F0"/>
          </w:tcPr>
          <w:p>
            <w:r/>
            <w:r>
              <w:rPr>
                <w:rFonts w:ascii="Arial" w:hAnsi="Arial"/>
                <w:b/>
                <w:sz w:val="17"/>
              </w:rPr>
              <w:t>Dataset</w:t>
            </w:r>
          </w:p>
        </w:tc>
        <w:tc>
          <w:tcPr>
            <w:tcW w:type="dxa" w:w="2045"/>
            <w:vAlign w:val="center"/>
            <w:shd w:fill="D9E3F0"/>
          </w:tcPr>
          <w:p>
            <w:r/>
            <w:r>
              <w:rPr>
                <w:rFonts w:ascii="Arial" w:hAnsi="Arial"/>
                <w:b/>
                <w:sz w:val="17"/>
              </w:rPr>
              <w:t>Raw rows</w:t>
            </w:r>
          </w:p>
        </w:tc>
        <w:tc>
          <w:tcPr>
            <w:tcW w:type="dxa" w:w="2045"/>
            <w:vAlign w:val="center"/>
            <w:shd w:fill="D9E3F0"/>
          </w:tcPr>
          <w:p>
            <w:r/>
            <w:r>
              <w:rPr>
                <w:rFonts w:ascii="Arial" w:hAnsi="Arial"/>
                <w:b/>
                <w:sz w:val="17"/>
              </w:rPr>
              <w:t>Clean rows</w:t>
            </w:r>
          </w:p>
        </w:tc>
        <w:tc>
          <w:tcPr>
            <w:tcW w:type="dxa" w:w="2045"/>
            <w:vAlign w:val="center"/>
            <w:shd w:fill="D9E3F0"/>
          </w:tcPr>
          <w:p>
            <w:r/>
            <w:r>
              <w:rPr>
                <w:rFonts w:ascii="Arial" w:hAnsi="Arial"/>
                <w:b/>
                <w:sz w:val="17"/>
              </w:rPr>
              <w:t>Columns</w:t>
            </w:r>
          </w:p>
        </w:tc>
        <w:tc>
          <w:tcPr>
            <w:tcW w:type="dxa" w:w="2045"/>
            <w:vAlign w:val="center"/>
            <w:shd w:fill="D9E3F0"/>
          </w:tcPr>
          <w:p>
            <w:r/>
            <w:r>
              <w:rPr>
                <w:rFonts w:ascii="Arial" w:hAnsi="Arial"/>
                <w:b/>
                <w:sz w:val="17"/>
              </w:rPr>
              <w:t>Purpose</w:t>
            </w:r>
          </w:p>
        </w:tc>
      </w:tr>
      <w:tr>
        <w:tc>
          <w:tcPr>
            <w:tcW w:type="dxa" w:w="2045"/>
            <w:vAlign w:val="center"/>
          </w:tcPr>
          <w:p>
            <w:r/>
            <w:r>
              <w:rPr>
                <w:rFonts w:ascii="Arial" w:hAnsi="Arial"/>
                <w:b w:val="0"/>
                <w:sz w:val="17"/>
              </w:rPr>
              <w:t>Historical customers</w:t>
            </w:r>
          </w:p>
        </w:tc>
        <w:tc>
          <w:tcPr>
            <w:tcW w:type="dxa" w:w="2045"/>
            <w:vAlign w:val="center"/>
          </w:tcPr>
          <w:p>
            <w:r/>
            <w:r>
              <w:rPr>
                <w:rFonts w:ascii="Arial" w:hAnsi="Arial"/>
                <w:b w:val="0"/>
                <w:sz w:val="17"/>
              </w:rPr>
              <w:t>1,215</w:t>
            </w:r>
          </w:p>
        </w:tc>
        <w:tc>
          <w:tcPr>
            <w:tcW w:type="dxa" w:w="2045"/>
            <w:vAlign w:val="center"/>
          </w:tcPr>
          <w:p>
            <w:r/>
            <w:r>
              <w:rPr>
                <w:rFonts w:ascii="Arial" w:hAnsi="Arial"/>
                <w:b w:val="0"/>
                <w:sz w:val="17"/>
              </w:rPr>
              <w:t>1,200</w:t>
            </w:r>
          </w:p>
        </w:tc>
        <w:tc>
          <w:tcPr>
            <w:tcW w:type="dxa" w:w="2045"/>
            <w:vAlign w:val="center"/>
          </w:tcPr>
          <w:p>
            <w:r/>
            <w:r>
              <w:rPr>
                <w:rFonts w:ascii="Arial" w:hAnsi="Arial"/>
                <w:b w:val="0"/>
                <w:sz w:val="17"/>
              </w:rPr>
              <w:t>20</w:t>
            </w:r>
          </w:p>
        </w:tc>
        <w:tc>
          <w:tcPr>
            <w:tcW w:type="dxa" w:w="2045"/>
            <w:vAlign w:val="center"/>
          </w:tcPr>
          <w:p>
            <w:r/>
            <w:r>
              <w:rPr>
                <w:rFonts w:ascii="Arial" w:hAnsi="Arial"/>
                <w:b w:val="0"/>
                <w:sz w:val="17"/>
              </w:rPr>
              <w:t>Develop, validate and improve the churn model</w:t>
            </w:r>
          </w:p>
        </w:tc>
      </w:tr>
      <w:tr>
        <w:tc>
          <w:tcPr>
            <w:tcW w:type="dxa" w:w="2045"/>
            <w:vAlign w:val="center"/>
          </w:tcPr>
          <w:p>
            <w:r/>
            <w:r>
              <w:rPr>
                <w:rFonts w:ascii="Arial" w:hAnsi="Arial"/>
                <w:b w:val="0"/>
                <w:sz w:val="17"/>
              </w:rPr>
              <w:t>Current customers</w:t>
            </w:r>
          </w:p>
        </w:tc>
        <w:tc>
          <w:tcPr>
            <w:tcW w:type="dxa" w:w="2045"/>
            <w:vAlign w:val="center"/>
          </w:tcPr>
          <w:p>
            <w:r/>
            <w:r>
              <w:rPr>
                <w:rFonts w:ascii="Arial" w:hAnsi="Arial"/>
                <w:b w:val="0"/>
                <w:sz w:val="17"/>
              </w:rPr>
              <w:t>300</w:t>
            </w:r>
          </w:p>
        </w:tc>
        <w:tc>
          <w:tcPr>
            <w:tcW w:type="dxa" w:w="2045"/>
            <w:vAlign w:val="center"/>
          </w:tcPr>
          <w:p>
            <w:r/>
            <w:r>
              <w:rPr>
                <w:rFonts w:ascii="Arial" w:hAnsi="Arial"/>
                <w:b w:val="0"/>
                <w:sz w:val="17"/>
              </w:rPr>
              <w:t>300</w:t>
            </w:r>
          </w:p>
        </w:tc>
        <w:tc>
          <w:tcPr>
            <w:tcW w:type="dxa" w:w="2045"/>
            <w:vAlign w:val="center"/>
          </w:tcPr>
          <w:p>
            <w:r/>
            <w:r>
              <w:rPr>
                <w:rFonts w:ascii="Arial" w:hAnsi="Arial"/>
                <w:b w:val="0"/>
                <w:sz w:val="17"/>
              </w:rPr>
              <w:t>19</w:t>
            </w:r>
          </w:p>
        </w:tc>
        <w:tc>
          <w:tcPr>
            <w:tcW w:type="dxa" w:w="2045"/>
            <w:vAlign w:val="center"/>
          </w:tcPr>
          <w:p>
            <w:r/>
            <w:r>
              <w:rPr>
                <w:rFonts w:ascii="Arial" w:hAnsi="Arial"/>
                <w:b w:val="0"/>
                <w:sz w:val="17"/>
              </w:rPr>
              <w:t>Score current customers and design the retention campaign</w:t>
            </w:r>
          </w:p>
        </w:tc>
      </w:tr>
    </w:tbl>
    <w:p>
      <w:r>
        <w:t>Each record represents one customer. Customer_ID is an identifier and was excluded from modelling. Churn is the binary target in the historical file; the other 18 shared variables are candidate predictors.</w:t>
      </w:r>
    </w:p>
    <w:p>
      <w:pPr>
        <w:jc w:val="center"/>
      </w:pPr>
      <w:r>
        <w:drawing>
          <wp:inline xmlns:a="http://schemas.openxmlformats.org/drawingml/2006/main" xmlns:pic="http://schemas.openxmlformats.org/drawingml/2006/picture">
            <wp:extent cx="5760720" cy="3675753"/>
            <wp:docPr id="1" name="Picture 1"/>
            <wp:cNvGraphicFramePr>
              <a:graphicFrameLocks noChangeAspect="1"/>
            </wp:cNvGraphicFramePr>
            <a:graphic>
              <a:graphicData uri="http://schemas.openxmlformats.org/drawingml/2006/picture">
                <pic:pic>
                  <pic:nvPicPr>
                    <pic:cNvPr id="0" name="churn_distribution.png"/>
                    <pic:cNvPicPr/>
                  </pic:nvPicPr>
                  <pic:blipFill>
                    <a:blip r:embed="rId10"/>
                    <a:stretch>
                      <a:fillRect/>
                    </a:stretch>
                  </pic:blipFill>
                  <pic:spPr>
                    <a:xfrm>
                      <a:off x="0" y="0"/>
                      <a:ext cx="5760720" cy="3675753"/>
                    </a:xfrm>
                    <a:prstGeom prst="rect"/>
                  </pic:spPr>
                </pic:pic>
              </a:graphicData>
            </a:graphic>
          </wp:inline>
        </w:drawing>
      </w:r>
    </w:p>
    <w:p>
      <w:pPr>
        <w:pStyle w:val="FigureCaption"/>
        <w:jc w:val="center"/>
      </w:pPr>
      <w:r>
        <w:t>Figure 1. Historical churn distribution after data preparation: 950 non-churn customers and 250 churn customers.</w:t>
      </w:r>
    </w:p>
    <w:p>
      <w:r>
        <w:br w:type="page"/>
      </w:r>
    </w:p>
    <w:p>
      <w:pPr>
        <w:pStyle w:val="Heading1"/>
      </w:pPr>
      <w:r>
        <w:t>2.1 Attribute Classification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3F0"/>
          </w:tcPr>
          <w:p>
            <w:r/>
            <w:r>
              <w:rPr>
                <w:rFonts w:ascii="Arial" w:hAnsi="Arial"/>
                <w:b/>
                <w:sz w:val="14"/>
              </w:rPr>
              <w:t>Attribute</w:t>
            </w:r>
          </w:p>
        </w:tc>
        <w:tc>
          <w:tcPr>
            <w:tcW w:type="dxa" w:w="2556"/>
            <w:vAlign w:val="center"/>
            <w:shd w:fill="D9E3F0"/>
          </w:tcPr>
          <w:p>
            <w:r/>
            <w:r>
              <w:rPr>
                <w:rFonts w:ascii="Arial" w:hAnsi="Arial"/>
                <w:b/>
                <w:sz w:val="14"/>
              </w:rPr>
              <w:t>Role</w:t>
            </w:r>
          </w:p>
        </w:tc>
        <w:tc>
          <w:tcPr>
            <w:tcW w:type="dxa" w:w="2556"/>
            <w:vAlign w:val="center"/>
            <w:shd w:fill="D9E3F0"/>
          </w:tcPr>
          <w:p>
            <w:r/>
            <w:r>
              <w:rPr>
                <w:rFonts w:ascii="Arial" w:hAnsi="Arial"/>
                <w:b/>
                <w:sz w:val="14"/>
              </w:rPr>
              <w:t>Analytical type</w:t>
            </w:r>
          </w:p>
        </w:tc>
        <w:tc>
          <w:tcPr>
            <w:tcW w:type="dxa" w:w="2556"/>
            <w:vAlign w:val="center"/>
            <w:shd w:fill="D9E3F0"/>
          </w:tcPr>
          <w:p>
            <w:r/>
            <w:r>
              <w:rPr>
                <w:rFonts w:ascii="Arial" w:hAnsi="Arial"/>
                <w:b/>
                <w:sz w:val="14"/>
              </w:rPr>
              <w:t>Measurement type</w:t>
            </w:r>
          </w:p>
        </w:tc>
      </w:tr>
      <w:tr>
        <w:tc>
          <w:tcPr>
            <w:tcW w:type="dxa" w:w="2556"/>
            <w:vAlign w:val="center"/>
          </w:tcPr>
          <w:p>
            <w:r/>
            <w:r>
              <w:rPr>
                <w:rFonts w:ascii="Arial" w:hAnsi="Arial"/>
                <w:b w:val="0"/>
                <w:sz w:val="14"/>
              </w:rPr>
              <w:t>Customer_ID</w:t>
            </w:r>
          </w:p>
        </w:tc>
        <w:tc>
          <w:tcPr>
            <w:tcW w:type="dxa" w:w="2556"/>
            <w:vAlign w:val="center"/>
          </w:tcPr>
          <w:p>
            <w:r/>
            <w:r>
              <w:rPr>
                <w:rFonts w:ascii="Arial" w:hAnsi="Arial"/>
                <w:b w:val="0"/>
                <w:sz w:val="14"/>
              </w:rPr>
              <w:t>Identifier</w:t>
            </w:r>
          </w:p>
        </w:tc>
        <w:tc>
          <w:tcPr>
            <w:tcW w:type="dxa" w:w="2556"/>
            <w:vAlign w:val="center"/>
          </w:tcPr>
          <w:p>
            <w:r/>
            <w:r>
              <w:rPr>
                <w:rFonts w:ascii="Arial" w:hAnsi="Arial"/>
                <w:b w:val="0"/>
                <w:sz w:val="14"/>
              </w:rPr>
              <w:t>Qualitative</w:t>
            </w:r>
          </w:p>
        </w:tc>
        <w:tc>
          <w:tcPr>
            <w:tcW w:type="dxa" w:w="2556"/>
            <w:vAlign w:val="center"/>
          </w:tcPr>
          <w:p>
            <w:r/>
            <w:r>
              <w:rPr>
                <w:rFonts w:ascii="Arial" w:hAnsi="Arial"/>
                <w:b w:val="0"/>
                <w:sz w:val="14"/>
              </w:rPr>
              <w:t>Nominal</w:t>
            </w:r>
          </w:p>
        </w:tc>
      </w:tr>
      <w:tr>
        <w:tc>
          <w:tcPr>
            <w:tcW w:type="dxa" w:w="2556"/>
            <w:vAlign w:val="center"/>
          </w:tcPr>
          <w:p>
            <w:r/>
            <w:r>
              <w:rPr>
                <w:rFonts w:ascii="Arial" w:hAnsi="Arial"/>
                <w:b w:val="0"/>
                <w:sz w:val="14"/>
              </w:rPr>
              <w:t>Age</w:t>
            </w:r>
          </w:p>
        </w:tc>
        <w:tc>
          <w:tcPr>
            <w:tcW w:type="dxa" w:w="2556"/>
            <w:vAlign w:val="center"/>
          </w:tcPr>
          <w:p>
            <w:r/>
            <w:r>
              <w:rPr>
                <w:rFonts w:ascii="Arial" w:hAnsi="Arial"/>
                <w:b w:val="0"/>
                <w:sz w:val="14"/>
              </w:rPr>
              <w:t>Predictor</w:t>
            </w:r>
          </w:p>
        </w:tc>
        <w:tc>
          <w:tcPr>
            <w:tcW w:type="dxa" w:w="2556"/>
            <w:vAlign w:val="center"/>
          </w:tcPr>
          <w:p>
            <w:r/>
            <w:r>
              <w:rPr>
                <w:rFonts w:ascii="Arial" w:hAnsi="Arial"/>
                <w:b w:val="0"/>
                <w:sz w:val="14"/>
              </w:rPr>
              <w:t>Quantitative</w:t>
            </w:r>
          </w:p>
        </w:tc>
        <w:tc>
          <w:tcPr>
            <w:tcW w:type="dxa" w:w="2556"/>
            <w:vAlign w:val="center"/>
          </w:tcPr>
          <w:p>
            <w:r/>
            <w:r>
              <w:rPr>
                <w:rFonts w:ascii="Arial" w:hAnsi="Arial"/>
                <w:b w:val="0"/>
                <w:sz w:val="14"/>
              </w:rPr>
              <w:t>Ratio</w:t>
            </w:r>
          </w:p>
        </w:tc>
      </w:tr>
      <w:tr>
        <w:tc>
          <w:tcPr>
            <w:tcW w:type="dxa" w:w="2556"/>
            <w:vAlign w:val="center"/>
          </w:tcPr>
          <w:p>
            <w:r/>
            <w:r>
              <w:rPr>
                <w:rFonts w:ascii="Arial" w:hAnsi="Arial"/>
                <w:b w:val="0"/>
                <w:sz w:val="14"/>
              </w:rPr>
              <w:t>Gender</w:t>
            </w:r>
          </w:p>
        </w:tc>
        <w:tc>
          <w:tcPr>
            <w:tcW w:type="dxa" w:w="2556"/>
            <w:vAlign w:val="center"/>
          </w:tcPr>
          <w:p>
            <w:r/>
            <w:r>
              <w:rPr>
                <w:rFonts w:ascii="Arial" w:hAnsi="Arial"/>
                <w:b w:val="0"/>
                <w:sz w:val="14"/>
              </w:rPr>
              <w:t>Predictor</w:t>
            </w:r>
          </w:p>
        </w:tc>
        <w:tc>
          <w:tcPr>
            <w:tcW w:type="dxa" w:w="2556"/>
            <w:vAlign w:val="center"/>
          </w:tcPr>
          <w:p>
            <w:r/>
            <w:r>
              <w:rPr>
                <w:rFonts w:ascii="Arial" w:hAnsi="Arial"/>
                <w:b w:val="0"/>
                <w:sz w:val="14"/>
              </w:rPr>
              <w:t>Qualitative</w:t>
            </w:r>
          </w:p>
        </w:tc>
        <w:tc>
          <w:tcPr>
            <w:tcW w:type="dxa" w:w="2556"/>
            <w:vAlign w:val="center"/>
          </w:tcPr>
          <w:p>
            <w:r/>
            <w:r>
              <w:rPr>
                <w:rFonts w:ascii="Arial" w:hAnsi="Arial"/>
                <w:b w:val="0"/>
                <w:sz w:val="14"/>
              </w:rPr>
              <w:t>Nominal</w:t>
            </w:r>
          </w:p>
        </w:tc>
      </w:tr>
      <w:tr>
        <w:tc>
          <w:tcPr>
            <w:tcW w:type="dxa" w:w="2556"/>
            <w:vAlign w:val="center"/>
          </w:tcPr>
          <w:p>
            <w:r/>
            <w:r>
              <w:rPr>
                <w:rFonts w:ascii="Arial" w:hAnsi="Arial"/>
                <w:b w:val="0"/>
                <w:sz w:val="14"/>
              </w:rPr>
              <w:t>Region</w:t>
            </w:r>
          </w:p>
        </w:tc>
        <w:tc>
          <w:tcPr>
            <w:tcW w:type="dxa" w:w="2556"/>
            <w:vAlign w:val="center"/>
          </w:tcPr>
          <w:p>
            <w:r/>
            <w:r>
              <w:rPr>
                <w:rFonts w:ascii="Arial" w:hAnsi="Arial"/>
                <w:b w:val="0"/>
                <w:sz w:val="14"/>
              </w:rPr>
              <w:t>Predictor</w:t>
            </w:r>
          </w:p>
        </w:tc>
        <w:tc>
          <w:tcPr>
            <w:tcW w:type="dxa" w:w="2556"/>
            <w:vAlign w:val="center"/>
          </w:tcPr>
          <w:p>
            <w:r/>
            <w:r>
              <w:rPr>
                <w:rFonts w:ascii="Arial" w:hAnsi="Arial"/>
                <w:b w:val="0"/>
                <w:sz w:val="14"/>
              </w:rPr>
              <w:t>Qualitative</w:t>
            </w:r>
          </w:p>
        </w:tc>
        <w:tc>
          <w:tcPr>
            <w:tcW w:type="dxa" w:w="2556"/>
            <w:vAlign w:val="center"/>
          </w:tcPr>
          <w:p>
            <w:r/>
            <w:r>
              <w:rPr>
                <w:rFonts w:ascii="Arial" w:hAnsi="Arial"/>
                <w:b w:val="0"/>
                <w:sz w:val="14"/>
              </w:rPr>
              <w:t>Nominal</w:t>
            </w:r>
          </w:p>
        </w:tc>
      </w:tr>
      <w:tr>
        <w:tc>
          <w:tcPr>
            <w:tcW w:type="dxa" w:w="2556"/>
            <w:vAlign w:val="center"/>
          </w:tcPr>
          <w:p>
            <w:r/>
            <w:r>
              <w:rPr>
                <w:rFonts w:ascii="Arial" w:hAnsi="Arial"/>
                <w:b w:val="0"/>
                <w:sz w:val="14"/>
              </w:rPr>
              <w:t>Membership_Level</w:t>
            </w:r>
          </w:p>
        </w:tc>
        <w:tc>
          <w:tcPr>
            <w:tcW w:type="dxa" w:w="2556"/>
            <w:vAlign w:val="center"/>
          </w:tcPr>
          <w:p>
            <w:r/>
            <w:r>
              <w:rPr>
                <w:rFonts w:ascii="Arial" w:hAnsi="Arial"/>
                <w:b w:val="0"/>
                <w:sz w:val="14"/>
              </w:rPr>
              <w:t>Predictor</w:t>
            </w:r>
          </w:p>
        </w:tc>
        <w:tc>
          <w:tcPr>
            <w:tcW w:type="dxa" w:w="2556"/>
            <w:vAlign w:val="center"/>
          </w:tcPr>
          <w:p>
            <w:r/>
            <w:r>
              <w:rPr>
                <w:rFonts w:ascii="Arial" w:hAnsi="Arial"/>
                <w:b w:val="0"/>
                <w:sz w:val="14"/>
              </w:rPr>
              <w:t>Qualitative</w:t>
            </w:r>
          </w:p>
        </w:tc>
        <w:tc>
          <w:tcPr>
            <w:tcW w:type="dxa" w:w="2556"/>
            <w:vAlign w:val="center"/>
          </w:tcPr>
          <w:p>
            <w:r/>
            <w:r>
              <w:rPr>
                <w:rFonts w:ascii="Arial" w:hAnsi="Arial"/>
                <w:b w:val="0"/>
                <w:sz w:val="14"/>
              </w:rPr>
              <w:t>Ordinal</w:t>
            </w:r>
          </w:p>
        </w:tc>
      </w:tr>
      <w:tr>
        <w:tc>
          <w:tcPr>
            <w:tcW w:type="dxa" w:w="2556"/>
            <w:vAlign w:val="center"/>
          </w:tcPr>
          <w:p>
            <w:r/>
            <w:r>
              <w:rPr>
                <w:rFonts w:ascii="Arial" w:hAnsi="Arial"/>
                <w:b w:val="0"/>
                <w:sz w:val="14"/>
              </w:rPr>
              <w:t>Tenure_Months</w:t>
            </w:r>
          </w:p>
        </w:tc>
        <w:tc>
          <w:tcPr>
            <w:tcW w:type="dxa" w:w="2556"/>
            <w:vAlign w:val="center"/>
          </w:tcPr>
          <w:p>
            <w:r/>
            <w:r>
              <w:rPr>
                <w:rFonts w:ascii="Arial" w:hAnsi="Arial"/>
                <w:b w:val="0"/>
                <w:sz w:val="14"/>
              </w:rPr>
              <w:t>Predictor</w:t>
            </w:r>
          </w:p>
        </w:tc>
        <w:tc>
          <w:tcPr>
            <w:tcW w:type="dxa" w:w="2556"/>
            <w:vAlign w:val="center"/>
          </w:tcPr>
          <w:p>
            <w:r/>
            <w:r>
              <w:rPr>
                <w:rFonts w:ascii="Arial" w:hAnsi="Arial"/>
                <w:b w:val="0"/>
                <w:sz w:val="14"/>
              </w:rPr>
              <w:t>Quantitative</w:t>
            </w:r>
          </w:p>
        </w:tc>
        <w:tc>
          <w:tcPr>
            <w:tcW w:type="dxa" w:w="2556"/>
            <w:vAlign w:val="center"/>
          </w:tcPr>
          <w:p>
            <w:r/>
            <w:r>
              <w:rPr>
                <w:rFonts w:ascii="Arial" w:hAnsi="Arial"/>
                <w:b w:val="0"/>
                <w:sz w:val="14"/>
              </w:rPr>
              <w:t>Ratio / integer</w:t>
            </w:r>
          </w:p>
        </w:tc>
      </w:tr>
      <w:tr>
        <w:tc>
          <w:tcPr>
            <w:tcW w:type="dxa" w:w="2556"/>
            <w:vAlign w:val="center"/>
          </w:tcPr>
          <w:p>
            <w:r/>
            <w:r>
              <w:rPr>
                <w:rFonts w:ascii="Arial" w:hAnsi="Arial"/>
                <w:b w:val="0"/>
                <w:sz w:val="14"/>
              </w:rPr>
              <w:t>Monthly_Income_JD</w:t>
            </w:r>
          </w:p>
        </w:tc>
        <w:tc>
          <w:tcPr>
            <w:tcW w:type="dxa" w:w="2556"/>
            <w:vAlign w:val="center"/>
          </w:tcPr>
          <w:p>
            <w:r/>
            <w:r>
              <w:rPr>
                <w:rFonts w:ascii="Arial" w:hAnsi="Arial"/>
                <w:b w:val="0"/>
                <w:sz w:val="14"/>
              </w:rPr>
              <w:t>Predictor</w:t>
            </w:r>
          </w:p>
        </w:tc>
        <w:tc>
          <w:tcPr>
            <w:tcW w:type="dxa" w:w="2556"/>
            <w:vAlign w:val="center"/>
          </w:tcPr>
          <w:p>
            <w:r/>
            <w:r>
              <w:rPr>
                <w:rFonts w:ascii="Arial" w:hAnsi="Arial"/>
                <w:b w:val="0"/>
                <w:sz w:val="14"/>
              </w:rPr>
              <w:t>Quantitative</w:t>
            </w:r>
          </w:p>
        </w:tc>
        <w:tc>
          <w:tcPr>
            <w:tcW w:type="dxa" w:w="2556"/>
            <w:vAlign w:val="center"/>
          </w:tcPr>
          <w:p>
            <w:r/>
            <w:r>
              <w:rPr>
                <w:rFonts w:ascii="Arial" w:hAnsi="Arial"/>
                <w:b w:val="0"/>
                <w:sz w:val="14"/>
              </w:rPr>
              <w:t>Ratio</w:t>
            </w:r>
          </w:p>
        </w:tc>
      </w:tr>
      <w:tr>
        <w:tc>
          <w:tcPr>
            <w:tcW w:type="dxa" w:w="2556"/>
            <w:vAlign w:val="center"/>
          </w:tcPr>
          <w:p>
            <w:r/>
            <w:r>
              <w:rPr>
                <w:rFonts w:ascii="Arial" w:hAnsi="Arial"/>
                <w:b w:val="0"/>
                <w:sz w:val="14"/>
              </w:rPr>
              <w:t>Monthly_Spend_JD</w:t>
            </w:r>
          </w:p>
        </w:tc>
        <w:tc>
          <w:tcPr>
            <w:tcW w:type="dxa" w:w="2556"/>
            <w:vAlign w:val="center"/>
          </w:tcPr>
          <w:p>
            <w:r/>
            <w:r>
              <w:rPr>
                <w:rFonts w:ascii="Arial" w:hAnsi="Arial"/>
                <w:b w:val="0"/>
                <w:sz w:val="14"/>
              </w:rPr>
              <w:t>Predictor</w:t>
            </w:r>
          </w:p>
        </w:tc>
        <w:tc>
          <w:tcPr>
            <w:tcW w:type="dxa" w:w="2556"/>
            <w:vAlign w:val="center"/>
          </w:tcPr>
          <w:p>
            <w:r/>
            <w:r>
              <w:rPr>
                <w:rFonts w:ascii="Arial" w:hAnsi="Arial"/>
                <w:b w:val="0"/>
                <w:sz w:val="14"/>
              </w:rPr>
              <w:t>Quantitative</w:t>
            </w:r>
          </w:p>
        </w:tc>
        <w:tc>
          <w:tcPr>
            <w:tcW w:type="dxa" w:w="2556"/>
            <w:vAlign w:val="center"/>
          </w:tcPr>
          <w:p>
            <w:r/>
            <w:r>
              <w:rPr>
                <w:rFonts w:ascii="Arial" w:hAnsi="Arial"/>
                <w:b w:val="0"/>
                <w:sz w:val="14"/>
              </w:rPr>
              <w:t>Ratio</w:t>
            </w:r>
          </w:p>
        </w:tc>
      </w:tr>
      <w:tr>
        <w:tc>
          <w:tcPr>
            <w:tcW w:type="dxa" w:w="2556"/>
            <w:vAlign w:val="center"/>
          </w:tcPr>
          <w:p>
            <w:r/>
            <w:r>
              <w:rPr>
                <w:rFonts w:ascii="Arial" w:hAnsi="Arial"/>
                <w:b w:val="0"/>
                <w:sz w:val="14"/>
              </w:rPr>
              <w:t>Total_Orders</w:t>
            </w:r>
          </w:p>
        </w:tc>
        <w:tc>
          <w:tcPr>
            <w:tcW w:type="dxa" w:w="2556"/>
            <w:vAlign w:val="center"/>
          </w:tcPr>
          <w:p>
            <w:r/>
            <w:r>
              <w:rPr>
                <w:rFonts w:ascii="Arial" w:hAnsi="Arial"/>
                <w:b w:val="0"/>
                <w:sz w:val="14"/>
              </w:rPr>
              <w:t>Predictor</w:t>
            </w:r>
          </w:p>
        </w:tc>
        <w:tc>
          <w:tcPr>
            <w:tcW w:type="dxa" w:w="2556"/>
            <w:vAlign w:val="center"/>
          </w:tcPr>
          <w:p>
            <w:r/>
            <w:r>
              <w:rPr>
                <w:rFonts w:ascii="Arial" w:hAnsi="Arial"/>
                <w:b w:val="0"/>
                <w:sz w:val="14"/>
              </w:rPr>
              <w:t>Quantitative</w:t>
            </w:r>
          </w:p>
        </w:tc>
        <w:tc>
          <w:tcPr>
            <w:tcW w:type="dxa" w:w="2556"/>
            <w:vAlign w:val="center"/>
          </w:tcPr>
          <w:p>
            <w:r/>
            <w:r>
              <w:rPr>
                <w:rFonts w:ascii="Arial" w:hAnsi="Arial"/>
                <w:b w:val="0"/>
                <w:sz w:val="14"/>
              </w:rPr>
              <w:t>Ratio / integer</w:t>
            </w:r>
          </w:p>
        </w:tc>
      </w:tr>
      <w:tr>
        <w:tc>
          <w:tcPr>
            <w:tcW w:type="dxa" w:w="2556"/>
            <w:vAlign w:val="center"/>
          </w:tcPr>
          <w:p>
            <w:r/>
            <w:r>
              <w:rPr>
                <w:rFonts w:ascii="Arial" w:hAnsi="Arial"/>
                <w:b w:val="0"/>
                <w:sz w:val="14"/>
              </w:rPr>
              <w:t>Average_Order_Value_JD</w:t>
            </w:r>
          </w:p>
        </w:tc>
        <w:tc>
          <w:tcPr>
            <w:tcW w:type="dxa" w:w="2556"/>
            <w:vAlign w:val="center"/>
          </w:tcPr>
          <w:p>
            <w:r/>
            <w:r>
              <w:rPr>
                <w:rFonts w:ascii="Arial" w:hAnsi="Arial"/>
                <w:b w:val="0"/>
                <w:sz w:val="14"/>
              </w:rPr>
              <w:t>Predictor</w:t>
            </w:r>
          </w:p>
        </w:tc>
        <w:tc>
          <w:tcPr>
            <w:tcW w:type="dxa" w:w="2556"/>
            <w:vAlign w:val="center"/>
          </w:tcPr>
          <w:p>
            <w:r/>
            <w:r>
              <w:rPr>
                <w:rFonts w:ascii="Arial" w:hAnsi="Arial"/>
                <w:b w:val="0"/>
                <w:sz w:val="14"/>
              </w:rPr>
              <w:t>Quantitative</w:t>
            </w:r>
          </w:p>
        </w:tc>
        <w:tc>
          <w:tcPr>
            <w:tcW w:type="dxa" w:w="2556"/>
            <w:vAlign w:val="center"/>
          </w:tcPr>
          <w:p>
            <w:r/>
            <w:r>
              <w:rPr>
                <w:rFonts w:ascii="Arial" w:hAnsi="Arial"/>
                <w:b w:val="0"/>
                <w:sz w:val="14"/>
              </w:rPr>
              <w:t>Ratio</w:t>
            </w:r>
          </w:p>
        </w:tc>
      </w:tr>
      <w:tr>
        <w:tc>
          <w:tcPr>
            <w:tcW w:type="dxa" w:w="2556"/>
            <w:vAlign w:val="center"/>
          </w:tcPr>
          <w:p>
            <w:r/>
            <w:r>
              <w:rPr>
                <w:rFonts w:ascii="Arial" w:hAnsi="Arial"/>
                <w:b w:val="0"/>
                <w:sz w:val="14"/>
              </w:rPr>
              <w:t>Days_Since_Last_Purchase</w:t>
            </w:r>
          </w:p>
        </w:tc>
        <w:tc>
          <w:tcPr>
            <w:tcW w:type="dxa" w:w="2556"/>
            <w:vAlign w:val="center"/>
          </w:tcPr>
          <w:p>
            <w:r/>
            <w:r>
              <w:rPr>
                <w:rFonts w:ascii="Arial" w:hAnsi="Arial"/>
                <w:b w:val="0"/>
                <w:sz w:val="14"/>
              </w:rPr>
              <w:t>Predictor</w:t>
            </w:r>
          </w:p>
        </w:tc>
        <w:tc>
          <w:tcPr>
            <w:tcW w:type="dxa" w:w="2556"/>
            <w:vAlign w:val="center"/>
          </w:tcPr>
          <w:p>
            <w:r/>
            <w:r>
              <w:rPr>
                <w:rFonts w:ascii="Arial" w:hAnsi="Arial"/>
                <w:b w:val="0"/>
                <w:sz w:val="14"/>
              </w:rPr>
              <w:t>Quantitative</w:t>
            </w:r>
          </w:p>
        </w:tc>
        <w:tc>
          <w:tcPr>
            <w:tcW w:type="dxa" w:w="2556"/>
            <w:vAlign w:val="center"/>
          </w:tcPr>
          <w:p>
            <w:r/>
            <w:r>
              <w:rPr>
                <w:rFonts w:ascii="Arial" w:hAnsi="Arial"/>
                <w:b w:val="0"/>
                <w:sz w:val="14"/>
              </w:rPr>
              <w:t>Ratio / integer</w:t>
            </w:r>
          </w:p>
        </w:tc>
      </w:tr>
      <w:tr>
        <w:tc>
          <w:tcPr>
            <w:tcW w:type="dxa" w:w="2556"/>
            <w:vAlign w:val="center"/>
          </w:tcPr>
          <w:p>
            <w:r/>
            <w:r>
              <w:rPr>
                <w:rFonts w:ascii="Arial" w:hAnsi="Arial"/>
                <w:b w:val="0"/>
                <w:sz w:val="14"/>
              </w:rPr>
              <w:t>Website_Visits_Last_30_Days</w:t>
            </w:r>
          </w:p>
        </w:tc>
        <w:tc>
          <w:tcPr>
            <w:tcW w:type="dxa" w:w="2556"/>
            <w:vAlign w:val="center"/>
          </w:tcPr>
          <w:p>
            <w:r/>
            <w:r>
              <w:rPr>
                <w:rFonts w:ascii="Arial" w:hAnsi="Arial"/>
                <w:b w:val="0"/>
                <w:sz w:val="14"/>
              </w:rPr>
              <w:t>Predictor</w:t>
            </w:r>
          </w:p>
        </w:tc>
        <w:tc>
          <w:tcPr>
            <w:tcW w:type="dxa" w:w="2556"/>
            <w:vAlign w:val="center"/>
          </w:tcPr>
          <w:p>
            <w:r/>
            <w:r>
              <w:rPr>
                <w:rFonts w:ascii="Arial" w:hAnsi="Arial"/>
                <w:b w:val="0"/>
                <w:sz w:val="14"/>
              </w:rPr>
              <w:t>Quantitative</w:t>
            </w:r>
          </w:p>
        </w:tc>
        <w:tc>
          <w:tcPr>
            <w:tcW w:type="dxa" w:w="2556"/>
            <w:vAlign w:val="center"/>
          </w:tcPr>
          <w:p>
            <w:r/>
            <w:r>
              <w:rPr>
                <w:rFonts w:ascii="Arial" w:hAnsi="Arial"/>
                <w:b w:val="0"/>
                <w:sz w:val="14"/>
              </w:rPr>
              <w:t>Ratio / integer</w:t>
            </w:r>
          </w:p>
        </w:tc>
      </w:tr>
      <w:tr>
        <w:tc>
          <w:tcPr>
            <w:tcW w:type="dxa" w:w="2556"/>
            <w:vAlign w:val="center"/>
          </w:tcPr>
          <w:p>
            <w:r/>
            <w:r>
              <w:rPr>
                <w:rFonts w:ascii="Arial" w:hAnsi="Arial"/>
                <w:b w:val="0"/>
                <w:sz w:val="14"/>
              </w:rPr>
              <w:t>Email_Engagement_Rate</w:t>
            </w:r>
          </w:p>
        </w:tc>
        <w:tc>
          <w:tcPr>
            <w:tcW w:type="dxa" w:w="2556"/>
            <w:vAlign w:val="center"/>
          </w:tcPr>
          <w:p>
            <w:r/>
            <w:r>
              <w:rPr>
                <w:rFonts w:ascii="Arial" w:hAnsi="Arial"/>
                <w:b w:val="0"/>
                <w:sz w:val="14"/>
              </w:rPr>
              <w:t>Predictor</w:t>
            </w:r>
          </w:p>
        </w:tc>
        <w:tc>
          <w:tcPr>
            <w:tcW w:type="dxa" w:w="2556"/>
            <w:vAlign w:val="center"/>
          </w:tcPr>
          <w:p>
            <w:r/>
            <w:r>
              <w:rPr>
                <w:rFonts w:ascii="Arial" w:hAnsi="Arial"/>
                <w:b w:val="0"/>
                <w:sz w:val="14"/>
              </w:rPr>
              <w:t>Quantitative</w:t>
            </w:r>
          </w:p>
        </w:tc>
        <w:tc>
          <w:tcPr>
            <w:tcW w:type="dxa" w:w="2556"/>
            <w:vAlign w:val="center"/>
          </w:tcPr>
          <w:p>
            <w:r/>
            <w:r>
              <w:rPr>
                <w:rFonts w:ascii="Arial" w:hAnsi="Arial"/>
                <w:b w:val="0"/>
                <w:sz w:val="14"/>
              </w:rPr>
              <w:t>Ratio</w:t>
            </w:r>
          </w:p>
        </w:tc>
      </w:tr>
      <w:tr>
        <w:tc>
          <w:tcPr>
            <w:tcW w:type="dxa" w:w="2556"/>
            <w:vAlign w:val="center"/>
          </w:tcPr>
          <w:p>
            <w:r/>
            <w:r>
              <w:rPr>
                <w:rFonts w:ascii="Arial" w:hAnsi="Arial"/>
                <w:b w:val="0"/>
                <w:sz w:val="14"/>
              </w:rPr>
              <w:t>Discount_Usage_Rate</w:t>
            </w:r>
          </w:p>
        </w:tc>
        <w:tc>
          <w:tcPr>
            <w:tcW w:type="dxa" w:w="2556"/>
            <w:vAlign w:val="center"/>
          </w:tcPr>
          <w:p>
            <w:r/>
            <w:r>
              <w:rPr>
                <w:rFonts w:ascii="Arial" w:hAnsi="Arial"/>
                <w:b w:val="0"/>
                <w:sz w:val="14"/>
              </w:rPr>
              <w:t>Predictor</w:t>
            </w:r>
          </w:p>
        </w:tc>
        <w:tc>
          <w:tcPr>
            <w:tcW w:type="dxa" w:w="2556"/>
            <w:vAlign w:val="center"/>
          </w:tcPr>
          <w:p>
            <w:r/>
            <w:r>
              <w:rPr>
                <w:rFonts w:ascii="Arial" w:hAnsi="Arial"/>
                <w:b w:val="0"/>
                <w:sz w:val="14"/>
              </w:rPr>
              <w:t>Quantitative</w:t>
            </w:r>
          </w:p>
        </w:tc>
        <w:tc>
          <w:tcPr>
            <w:tcW w:type="dxa" w:w="2556"/>
            <w:vAlign w:val="center"/>
          </w:tcPr>
          <w:p>
            <w:r/>
            <w:r>
              <w:rPr>
                <w:rFonts w:ascii="Arial" w:hAnsi="Arial"/>
                <w:b w:val="0"/>
                <w:sz w:val="14"/>
              </w:rPr>
              <w:t>Ratio</w:t>
            </w:r>
          </w:p>
        </w:tc>
      </w:tr>
      <w:tr>
        <w:tc>
          <w:tcPr>
            <w:tcW w:type="dxa" w:w="2556"/>
            <w:vAlign w:val="center"/>
          </w:tcPr>
          <w:p>
            <w:r/>
            <w:r>
              <w:rPr>
                <w:rFonts w:ascii="Arial" w:hAnsi="Arial"/>
                <w:b w:val="0"/>
                <w:sz w:val="14"/>
              </w:rPr>
              <w:t>Satisfaction_Score</w:t>
            </w:r>
          </w:p>
        </w:tc>
        <w:tc>
          <w:tcPr>
            <w:tcW w:type="dxa" w:w="2556"/>
            <w:vAlign w:val="center"/>
          </w:tcPr>
          <w:p>
            <w:r/>
            <w:r>
              <w:rPr>
                <w:rFonts w:ascii="Arial" w:hAnsi="Arial"/>
                <w:b w:val="0"/>
                <w:sz w:val="14"/>
              </w:rPr>
              <w:t>Predictor</w:t>
            </w:r>
          </w:p>
        </w:tc>
        <w:tc>
          <w:tcPr>
            <w:tcW w:type="dxa" w:w="2556"/>
            <w:vAlign w:val="center"/>
          </w:tcPr>
          <w:p>
            <w:r/>
            <w:r>
              <w:rPr>
                <w:rFonts w:ascii="Arial" w:hAnsi="Arial"/>
                <w:b w:val="0"/>
                <w:sz w:val="14"/>
              </w:rPr>
              <w:t>Qualitative</w:t>
            </w:r>
          </w:p>
        </w:tc>
        <w:tc>
          <w:tcPr>
            <w:tcW w:type="dxa" w:w="2556"/>
            <w:vAlign w:val="center"/>
          </w:tcPr>
          <w:p>
            <w:r/>
            <w:r>
              <w:rPr>
                <w:rFonts w:ascii="Arial" w:hAnsi="Arial"/>
                <w:b w:val="0"/>
                <w:sz w:val="14"/>
              </w:rPr>
              <w:t>Ordinal</w:t>
            </w:r>
          </w:p>
        </w:tc>
      </w:tr>
      <w:tr>
        <w:tc>
          <w:tcPr>
            <w:tcW w:type="dxa" w:w="2556"/>
            <w:vAlign w:val="center"/>
          </w:tcPr>
          <w:p>
            <w:r/>
            <w:r>
              <w:rPr>
                <w:rFonts w:ascii="Arial" w:hAnsi="Arial"/>
                <w:b w:val="0"/>
                <w:sz w:val="14"/>
              </w:rPr>
              <w:t>Support_Tickets_Last_6_Months</w:t>
            </w:r>
          </w:p>
        </w:tc>
        <w:tc>
          <w:tcPr>
            <w:tcW w:type="dxa" w:w="2556"/>
            <w:vAlign w:val="center"/>
          </w:tcPr>
          <w:p>
            <w:r/>
            <w:r>
              <w:rPr>
                <w:rFonts w:ascii="Arial" w:hAnsi="Arial"/>
                <w:b w:val="0"/>
                <w:sz w:val="14"/>
              </w:rPr>
              <w:t>Predictor</w:t>
            </w:r>
          </w:p>
        </w:tc>
        <w:tc>
          <w:tcPr>
            <w:tcW w:type="dxa" w:w="2556"/>
            <w:vAlign w:val="center"/>
          </w:tcPr>
          <w:p>
            <w:r/>
            <w:r>
              <w:rPr>
                <w:rFonts w:ascii="Arial" w:hAnsi="Arial"/>
                <w:b w:val="0"/>
                <w:sz w:val="14"/>
              </w:rPr>
              <w:t>Quantitative</w:t>
            </w:r>
          </w:p>
        </w:tc>
        <w:tc>
          <w:tcPr>
            <w:tcW w:type="dxa" w:w="2556"/>
            <w:vAlign w:val="center"/>
          </w:tcPr>
          <w:p>
            <w:r/>
            <w:r>
              <w:rPr>
                <w:rFonts w:ascii="Arial" w:hAnsi="Arial"/>
                <w:b w:val="0"/>
                <w:sz w:val="14"/>
              </w:rPr>
              <w:t>Ratio / integer</w:t>
            </w:r>
          </w:p>
        </w:tc>
      </w:tr>
      <w:tr>
        <w:tc>
          <w:tcPr>
            <w:tcW w:type="dxa" w:w="2556"/>
            <w:vAlign w:val="center"/>
          </w:tcPr>
          <w:p>
            <w:r/>
            <w:r>
              <w:rPr>
                <w:rFonts w:ascii="Arial" w:hAnsi="Arial"/>
                <w:b w:val="0"/>
                <w:sz w:val="14"/>
              </w:rPr>
              <w:t>Complaint_Flag</w:t>
            </w:r>
          </w:p>
        </w:tc>
        <w:tc>
          <w:tcPr>
            <w:tcW w:type="dxa" w:w="2556"/>
            <w:vAlign w:val="center"/>
          </w:tcPr>
          <w:p>
            <w:r/>
            <w:r>
              <w:rPr>
                <w:rFonts w:ascii="Arial" w:hAnsi="Arial"/>
                <w:b w:val="0"/>
                <w:sz w:val="14"/>
              </w:rPr>
              <w:t>Predictor</w:t>
            </w:r>
          </w:p>
        </w:tc>
        <w:tc>
          <w:tcPr>
            <w:tcW w:type="dxa" w:w="2556"/>
            <w:vAlign w:val="center"/>
          </w:tcPr>
          <w:p>
            <w:r/>
            <w:r>
              <w:rPr>
                <w:rFonts w:ascii="Arial" w:hAnsi="Arial"/>
                <w:b w:val="0"/>
                <w:sz w:val="14"/>
              </w:rPr>
              <w:t>Qualitative</w:t>
            </w:r>
          </w:p>
        </w:tc>
        <w:tc>
          <w:tcPr>
            <w:tcW w:type="dxa" w:w="2556"/>
            <w:vAlign w:val="center"/>
          </w:tcPr>
          <w:p>
            <w:r/>
            <w:r>
              <w:rPr>
                <w:rFonts w:ascii="Arial" w:hAnsi="Arial"/>
                <w:b w:val="0"/>
                <w:sz w:val="14"/>
              </w:rPr>
              <w:t>Binary</w:t>
            </w:r>
          </w:p>
        </w:tc>
      </w:tr>
      <w:tr>
        <w:tc>
          <w:tcPr>
            <w:tcW w:type="dxa" w:w="2556"/>
            <w:vAlign w:val="center"/>
          </w:tcPr>
          <w:p>
            <w:r/>
            <w:r>
              <w:rPr>
                <w:rFonts w:ascii="Arial" w:hAnsi="Arial"/>
                <w:b w:val="0"/>
                <w:sz w:val="14"/>
              </w:rPr>
              <w:t>Last_Campaign_Response</w:t>
            </w:r>
          </w:p>
        </w:tc>
        <w:tc>
          <w:tcPr>
            <w:tcW w:type="dxa" w:w="2556"/>
            <w:vAlign w:val="center"/>
          </w:tcPr>
          <w:p>
            <w:r/>
            <w:r>
              <w:rPr>
                <w:rFonts w:ascii="Arial" w:hAnsi="Arial"/>
                <w:b w:val="0"/>
                <w:sz w:val="14"/>
              </w:rPr>
              <w:t>Predictor</w:t>
            </w:r>
          </w:p>
        </w:tc>
        <w:tc>
          <w:tcPr>
            <w:tcW w:type="dxa" w:w="2556"/>
            <w:vAlign w:val="center"/>
          </w:tcPr>
          <w:p>
            <w:r/>
            <w:r>
              <w:rPr>
                <w:rFonts w:ascii="Arial" w:hAnsi="Arial"/>
                <w:b w:val="0"/>
                <w:sz w:val="14"/>
              </w:rPr>
              <w:t>Qualitative</w:t>
            </w:r>
          </w:p>
        </w:tc>
        <w:tc>
          <w:tcPr>
            <w:tcW w:type="dxa" w:w="2556"/>
            <w:vAlign w:val="center"/>
          </w:tcPr>
          <w:p>
            <w:r/>
            <w:r>
              <w:rPr>
                <w:rFonts w:ascii="Arial" w:hAnsi="Arial"/>
                <w:b w:val="0"/>
                <w:sz w:val="14"/>
              </w:rPr>
              <w:t>Binary</w:t>
            </w:r>
          </w:p>
        </w:tc>
      </w:tr>
      <w:tr>
        <w:tc>
          <w:tcPr>
            <w:tcW w:type="dxa" w:w="2556"/>
            <w:vAlign w:val="center"/>
          </w:tcPr>
          <w:p>
            <w:r/>
            <w:r>
              <w:rPr>
                <w:rFonts w:ascii="Arial" w:hAnsi="Arial"/>
                <w:b w:val="0"/>
                <w:sz w:val="14"/>
              </w:rPr>
              <w:t>Payment_Method</w:t>
            </w:r>
          </w:p>
        </w:tc>
        <w:tc>
          <w:tcPr>
            <w:tcW w:type="dxa" w:w="2556"/>
            <w:vAlign w:val="center"/>
          </w:tcPr>
          <w:p>
            <w:r/>
            <w:r>
              <w:rPr>
                <w:rFonts w:ascii="Arial" w:hAnsi="Arial"/>
                <w:b w:val="0"/>
                <w:sz w:val="14"/>
              </w:rPr>
              <w:t>Predictor</w:t>
            </w:r>
          </w:p>
        </w:tc>
        <w:tc>
          <w:tcPr>
            <w:tcW w:type="dxa" w:w="2556"/>
            <w:vAlign w:val="center"/>
          </w:tcPr>
          <w:p>
            <w:r/>
            <w:r>
              <w:rPr>
                <w:rFonts w:ascii="Arial" w:hAnsi="Arial"/>
                <w:b w:val="0"/>
                <w:sz w:val="14"/>
              </w:rPr>
              <w:t>Qualitative</w:t>
            </w:r>
          </w:p>
        </w:tc>
        <w:tc>
          <w:tcPr>
            <w:tcW w:type="dxa" w:w="2556"/>
            <w:vAlign w:val="center"/>
          </w:tcPr>
          <w:p>
            <w:r/>
            <w:r>
              <w:rPr>
                <w:rFonts w:ascii="Arial" w:hAnsi="Arial"/>
                <w:b w:val="0"/>
                <w:sz w:val="14"/>
              </w:rPr>
              <w:t>Nominal</w:t>
            </w:r>
          </w:p>
        </w:tc>
      </w:tr>
      <w:tr>
        <w:tc>
          <w:tcPr>
            <w:tcW w:type="dxa" w:w="2556"/>
            <w:vAlign w:val="center"/>
          </w:tcPr>
          <w:p>
            <w:r/>
            <w:r>
              <w:rPr>
                <w:rFonts w:ascii="Arial" w:hAnsi="Arial"/>
                <w:b w:val="0"/>
                <w:sz w:val="14"/>
              </w:rPr>
              <w:t>Churn</w:t>
            </w:r>
          </w:p>
        </w:tc>
        <w:tc>
          <w:tcPr>
            <w:tcW w:type="dxa" w:w="2556"/>
            <w:vAlign w:val="center"/>
          </w:tcPr>
          <w:p>
            <w:r/>
            <w:r>
              <w:rPr>
                <w:rFonts w:ascii="Arial" w:hAnsi="Arial"/>
                <w:b w:val="0"/>
                <w:sz w:val="14"/>
              </w:rPr>
              <w:t>Target</w:t>
            </w:r>
          </w:p>
        </w:tc>
        <w:tc>
          <w:tcPr>
            <w:tcW w:type="dxa" w:w="2556"/>
            <w:vAlign w:val="center"/>
          </w:tcPr>
          <w:p>
            <w:r/>
            <w:r>
              <w:rPr>
                <w:rFonts w:ascii="Arial" w:hAnsi="Arial"/>
                <w:b w:val="0"/>
                <w:sz w:val="14"/>
              </w:rPr>
              <w:t>Qualitative</w:t>
            </w:r>
          </w:p>
        </w:tc>
        <w:tc>
          <w:tcPr>
            <w:tcW w:type="dxa" w:w="2556"/>
            <w:vAlign w:val="center"/>
          </w:tcPr>
          <w:p>
            <w:r/>
            <w:r>
              <w:rPr>
                <w:rFonts w:ascii="Arial" w:hAnsi="Arial"/>
                <w:b w:val="0"/>
                <w:sz w:val="14"/>
              </w:rPr>
              <w:t>Binary</w:t>
            </w:r>
          </w:p>
        </w:tc>
      </w:tr>
    </w:tbl>
    <w:p>
      <w:r>
        <w:t>The analytical classification is distinct from pandas storage type. For example, binary flags may be stored as integers but are treated as qualitative binary variables in interpretation.</w:t>
      </w:r>
    </w:p>
    <w:p>
      <w:r>
        <w:br w:type="page"/>
      </w:r>
    </w:p>
    <w:p>
      <w:pPr>
        <w:pStyle w:val="Heading1"/>
      </w:pPr>
      <w:r>
        <w:t>3. Data Preparation and Quality</w:t>
      </w:r>
    </w:p>
    <w:p>
      <w:r>
        <w:t>Data quality was assessed across completeness, uniqueness, consistency, validity, accuracy where assessable, and timeliness where applicable. The source files intentionally contained quality issues.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3F0"/>
          </w:tcPr>
          <w:p>
            <w:r/>
            <w:r>
              <w:rPr>
                <w:rFonts w:ascii="Arial" w:hAnsi="Arial"/>
                <w:b/>
                <w:sz w:val="14"/>
              </w:rPr>
              <w:t>Issue</w:t>
            </w:r>
          </w:p>
        </w:tc>
        <w:tc>
          <w:tcPr>
            <w:tcW w:type="dxa" w:w="2556"/>
            <w:vAlign w:val="center"/>
            <w:shd w:fill="D9E3F0"/>
          </w:tcPr>
          <w:p>
            <w:r/>
            <w:r>
              <w:rPr>
                <w:rFonts w:ascii="Arial" w:hAnsi="Arial"/>
                <w:b/>
                <w:sz w:val="14"/>
              </w:rPr>
              <w:t>Historical</w:t>
            </w:r>
          </w:p>
        </w:tc>
        <w:tc>
          <w:tcPr>
            <w:tcW w:type="dxa" w:w="2556"/>
            <w:vAlign w:val="center"/>
            <w:shd w:fill="D9E3F0"/>
          </w:tcPr>
          <w:p>
            <w:r/>
            <w:r>
              <w:rPr>
                <w:rFonts w:ascii="Arial" w:hAnsi="Arial"/>
                <w:b/>
                <w:sz w:val="14"/>
              </w:rPr>
              <w:t>Current</w:t>
            </w:r>
          </w:p>
        </w:tc>
        <w:tc>
          <w:tcPr>
            <w:tcW w:type="dxa" w:w="2556"/>
            <w:vAlign w:val="center"/>
            <w:shd w:fill="D9E3F0"/>
          </w:tcPr>
          <w:p>
            <w:r/>
            <w:r>
              <w:rPr>
                <w:rFonts w:ascii="Arial" w:hAnsi="Arial"/>
                <w:b/>
                <w:sz w:val="14"/>
              </w:rPr>
              <w:t>Treatment</w:t>
            </w:r>
          </w:p>
        </w:tc>
      </w:tr>
      <w:tr>
        <w:tc>
          <w:tcPr>
            <w:tcW w:type="dxa" w:w="2556"/>
            <w:vAlign w:val="center"/>
          </w:tcPr>
          <w:p>
            <w:r/>
            <w:r>
              <w:rPr>
                <w:rFonts w:ascii="Arial" w:hAnsi="Arial"/>
                <w:b w:val="0"/>
                <w:sz w:val="14"/>
              </w:rPr>
              <w:t>Missing Age</w:t>
            </w:r>
          </w:p>
        </w:tc>
        <w:tc>
          <w:tcPr>
            <w:tcW w:type="dxa" w:w="2556"/>
            <w:vAlign w:val="center"/>
          </w:tcPr>
          <w:p>
            <w:r/>
            <w:r>
              <w:rPr>
                <w:rFonts w:ascii="Arial" w:hAnsi="Arial"/>
                <w:b w:val="0"/>
                <w:sz w:val="14"/>
              </w:rPr>
              <w:t>26</w:t>
            </w:r>
          </w:p>
        </w:tc>
        <w:tc>
          <w:tcPr>
            <w:tcW w:type="dxa" w:w="2556"/>
            <w:vAlign w:val="center"/>
          </w:tcPr>
          <w:p>
            <w:r/>
            <w:r>
              <w:rPr>
                <w:rFonts w:ascii="Arial" w:hAnsi="Arial"/>
                <w:b w:val="0"/>
                <w:sz w:val="14"/>
              </w:rPr>
              <w:t>6</w:t>
            </w:r>
          </w:p>
        </w:tc>
        <w:tc>
          <w:tcPr>
            <w:tcW w:type="dxa" w:w="2556"/>
            <w:vAlign w:val="center"/>
          </w:tcPr>
          <w:p>
            <w:r/>
            <w:r>
              <w:rPr>
                <w:rFonts w:ascii="Arial" w:hAnsi="Arial"/>
                <w:b w:val="0"/>
                <w:sz w:val="14"/>
              </w:rPr>
              <w:t>Historical median = 44</w:t>
            </w:r>
          </w:p>
        </w:tc>
      </w:tr>
      <w:tr>
        <w:tc>
          <w:tcPr>
            <w:tcW w:type="dxa" w:w="2556"/>
            <w:vAlign w:val="center"/>
          </w:tcPr>
          <w:p>
            <w:r/>
            <w:r>
              <w:rPr>
                <w:rFonts w:ascii="Arial" w:hAnsi="Arial"/>
                <w:b w:val="0"/>
                <w:sz w:val="14"/>
              </w:rPr>
              <w:t>Missing Region</w:t>
            </w:r>
          </w:p>
        </w:tc>
        <w:tc>
          <w:tcPr>
            <w:tcW w:type="dxa" w:w="2556"/>
            <w:vAlign w:val="center"/>
          </w:tcPr>
          <w:p>
            <w:r/>
            <w:r>
              <w:rPr>
                <w:rFonts w:ascii="Arial" w:hAnsi="Arial"/>
                <w:b w:val="0"/>
                <w:sz w:val="14"/>
              </w:rPr>
              <w:t>17</w:t>
            </w:r>
          </w:p>
        </w:tc>
        <w:tc>
          <w:tcPr>
            <w:tcW w:type="dxa" w:w="2556"/>
            <w:vAlign w:val="center"/>
          </w:tcPr>
          <w:p>
            <w:r/>
            <w:r>
              <w:rPr>
                <w:rFonts w:ascii="Arial" w:hAnsi="Arial"/>
                <w:b w:val="0"/>
                <w:sz w:val="14"/>
              </w:rPr>
              <w:t>4</w:t>
            </w:r>
          </w:p>
        </w:tc>
        <w:tc>
          <w:tcPr>
            <w:tcW w:type="dxa" w:w="2556"/>
            <w:vAlign w:val="center"/>
          </w:tcPr>
          <w:p>
            <w:r/>
            <w:r>
              <w:rPr>
                <w:rFonts w:ascii="Arial" w:hAnsi="Arial"/>
                <w:b w:val="0"/>
                <w:sz w:val="14"/>
              </w:rPr>
              <w:t>Historical mode = Amman</w:t>
            </w:r>
          </w:p>
        </w:tc>
      </w:tr>
      <w:tr>
        <w:tc>
          <w:tcPr>
            <w:tcW w:type="dxa" w:w="2556"/>
            <w:vAlign w:val="center"/>
          </w:tcPr>
          <w:p>
            <w:r/>
            <w:r>
              <w:rPr>
                <w:rFonts w:ascii="Arial" w:hAnsi="Arial"/>
                <w:b w:val="0"/>
                <w:sz w:val="14"/>
              </w:rPr>
              <w:t>Missing Monthly_Income_JD</w:t>
            </w:r>
          </w:p>
        </w:tc>
        <w:tc>
          <w:tcPr>
            <w:tcW w:type="dxa" w:w="2556"/>
            <w:vAlign w:val="center"/>
          </w:tcPr>
          <w:p>
            <w:r/>
            <w:r>
              <w:rPr>
                <w:rFonts w:ascii="Arial" w:hAnsi="Arial"/>
                <w:b w:val="0"/>
                <w:sz w:val="14"/>
              </w:rPr>
              <w:t>22</w:t>
            </w:r>
          </w:p>
        </w:tc>
        <w:tc>
          <w:tcPr>
            <w:tcW w:type="dxa" w:w="2556"/>
            <w:vAlign w:val="center"/>
          </w:tcPr>
          <w:p>
            <w:r/>
            <w:r>
              <w:rPr>
                <w:rFonts w:ascii="Arial" w:hAnsi="Arial"/>
                <w:b w:val="0"/>
                <w:sz w:val="14"/>
              </w:rPr>
              <w:t>4</w:t>
            </w:r>
          </w:p>
        </w:tc>
        <w:tc>
          <w:tcPr>
            <w:tcW w:type="dxa" w:w="2556"/>
            <w:vAlign w:val="center"/>
          </w:tcPr>
          <w:p>
            <w:r/>
            <w:r>
              <w:rPr>
                <w:rFonts w:ascii="Arial" w:hAnsi="Arial"/>
                <w:b w:val="0"/>
                <w:sz w:val="14"/>
              </w:rPr>
              <w:t>Historical median after invalid handling</w:t>
            </w:r>
          </w:p>
        </w:tc>
      </w:tr>
      <w:tr>
        <w:tc>
          <w:tcPr>
            <w:tcW w:type="dxa" w:w="2556"/>
            <w:vAlign w:val="center"/>
          </w:tcPr>
          <w:p>
            <w:r/>
            <w:r>
              <w:rPr>
                <w:rFonts w:ascii="Arial" w:hAnsi="Arial"/>
                <w:b w:val="0"/>
                <w:sz w:val="14"/>
              </w:rPr>
              <w:t>Missing Monthly_Spend_JD</w:t>
            </w:r>
          </w:p>
        </w:tc>
        <w:tc>
          <w:tcPr>
            <w:tcW w:type="dxa" w:w="2556"/>
            <w:vAlign w:val="center"/>
          </w:tcPr>
          <w:p>
            <w:r/>
            <w:r>
              <w:rPr>
                <w:rFonts w:ascii="Arial" w:hAnsi="Arial"/>
                <w:b w:val="0"/>
                <w:sz w:val="14"/>
              </w:rPr>
              <w:t>21</w:t>
            </w:r>
          </w:p>
        </w:tc>
        <w:tc>
          <w:tcPr>
            <w:tcW w:type="dxa" w:w="2556"/>
            <w:vAlign w:val="center"/>
          </w:tcPr>
          <w:p>
            <w:r/>
            <w:r>
              <w:rPr>
                <w:rFonts w:ascii="Arial" w:hAnsi="Arial"/>
                <w:b w:val="0"/>
                <w:sz w:val="14"/>
              </w:rPr>
              <w:t>5</w:t>
            </w:r>
          </w:p>
        </w:tc>
        <w:tc>
          <w:tcPr>
            <w:tcW w:type="dxa" w:w="2556"/>
            <w:vAlign w:val="center"/>
          </w:tcPr>
          <w:p>
            <w:r/>
            <w:r>
              <w:rPr>
                <w:rFonts w:ascii="Arial" w:hAnsi="Arial"/>
                <w:b w:val="0"/>
                <w:sz w:val="14"/>
              </w:rPr>
              <w:t>Historical median after invalid handling</w:t>
            </w:r>
          </w:p>
        </w:tc>
      </w:tr>
      <w:tr>
        <w:tc>
          <w:tcPr>
            <w:tcW w:type="dxa" w:w="2556"/>
            <w:vAlign w:val="center"/>
          </w:tcPr>
          <w:p>
            <w:r/>
            <w:r>
              <w:rPr>
                <w:rFonts w:ascii="Arial" w:hAnsi="Arial"/>
                <w:b w:val="0"/>
                <w:sz w:val="14"/>
              </w:rPr>
              <w:t>Missing Email_Engagement_Rate</w:t>
            </w:r>
          </w:p>
        </w:tc>
        <w:tc>
          <w:tcPr>
            <w:tcW w:type="dxa" w:w="2556"/>
            <w:vAlign w:val="center"/>
          </w:tcPr>
          <w:p>
            <w:r/>
            <w:r>
              <w:rPr>
                <w:rFonts w:ascii="Arial" w:hAnsi="Arial"/>
                <w:b w:val="0"/>
                <w:sz w:val="14"/>
              </w:rPr>
              <w:t>26</w:t>
            </w:r>
          </w:p>
        </w:tc>
        <w:tc>
          <w:tcPr>
            <w:tcW w:type="dxa" w:w="2556"/>
            <w:vAlign w:val="center"/>
          </w:tcPr>
          <w:p>
            <w:r/>
            <w:r>
              <w:rPr>
                <w:rFonts w:ascii="Arial" w:hAnsi="Arial"/>
                <w:b w:val="0"/>
                <w:sz w:val="14"/>
              </w:rPr>
              <w:t>6</w:t>
            </w:r>
          </w:p>
        </w:tc>
        <w:tc>
          <w:tcPr>
            <w:tcW w:type="dxa" w:w="2556"/>
            <w:vAlign w:val="center"/>
          </w:tcPr>
          <w:p>
            <w:r/>
            <w:r>
              <w:rPr>
                <w:rFonts w:ascii="Arial" w:hAnsi="Arial"/>
                <w:b w:val="0"/>
                <w:sz w:val="14"/>
              </w:rPr>
              <w:t>Historical median = 0.4165</w:t>
            </w:r>
          </w:p>
        </w:tc>
      </w:tr>
      <w:tr>
        <w:tc>
          <w:tcPr>
            <w:tcW w:type="dxa" w:w="2556"/>
            <w:vAlign w:val="center"/>
          </w:tcPr>
          <w:p>
            <w:r/>
            <w:r>
              <w:rPr>
                <w:rFonts w:ascii="Arial" w:hAnsi="Arial"/>
                <w:b w:val="0"/>
                <w:sz w:val="14"/>
              </w:rPr>
              <w:t>Missing Satisfaction_Score</w:t>
            </w:r>
          </w:p>
        </w:tc>
        <w:tc>
          <w:tcPr>
            <w:tcW w:type="dxa" w:w="2556"/>
            <w:vAlign w:val="center"/>
          </w:tcPr>
          <w:p>
            <w:r/>
            <w:r>
              <w:rPr>
                <w:rFonts w:ascii="Arial" w:hAnsi="Arial"/>
                <w:b w:val="0"/>
                <w:sz w:val="14"/>
              </w:rPr>
              <w:t>20</w:t>
            </w:r>
          </w:p>
        </w:tc>
        <w:tc>
          <w:tcPr>
            <w:tcW w:type="dxa" w:w="2556"/>
            <w:vAlign w:val="center"/>
          </w:tcPr>
          <w:p>
            <w:r/>
            <w:r>
              <w:rPr>
                <w:rFonts w:ascii="Arial" w:hAnsi="Arial"/>
                <w:b w:val="0"/>
                <w:sz w:val="14"/>
              </w:rPr>
              <w:t>5</w:t>
            </w:r>
          </w:p>
        </w:tc>
        <w:tc>
          <w:tcPr>
            <w:tcW w:type="dxa" w:w="2556"/>
            <w:vAlign w:val="center"/>
          </w:tcPr>
          <w:p>
            <w:r/>
            <w:r>
              <w:rPr>
                <w:rFonts w:ascii="Arial" w:hAnsi="Arial"/>
                <w:b w:val="0"/>
                <w:sz w:val="14"/>
              </w:rPr>
              <w:t>Historical median = 4</w:t>
            </w:r>
          </w:p>
        </w:tc>
      </w:tr>
      <w:tr>
        <w:tc>
          <w:tcPr>
            <w:tcW w:type="dxa" w:w="2556"/>
            <w:vAlign w:val="center"/>
          </w:tcPr>
          <w:p>
            <w:r/>
            <w:r>
              <w:rPr>
                <w:rFonts w:ascii="Arial" w:hAnsi="Arial"/>
                <w:b w:val="0"/>
                <w:sz w:val="14"/>
              </w:rPr>
              <w:t>Exact duplicate rows</w:t>
            </w:r>
          </w:p>
        </w:tc>
        <w:tc>
          <w:tcPr>
            <w:tcW w:type="dxa" w:w="2556"/>
            <w:vAlign w:val="center"/>
          </w:tcPr>
          <w:p>
            <w:r/>
            <w:r>
              <w:rPr>
                <w:rFonts w:ascii="Arial" w:hAnsi="Arial"/>
                <w:b w:val="0"/>
                <w:sz w:val="14"/>
              </w:rPr>
              <w:t>15</w:t>
            </w:r>
          </w:p>
        </w:tc>
        <w:tc>
          <w:tcPr>
            <w:tcW w:type="dxa" w:w="2556"/>
            <w:vAlign w:val="center"/>
          </w:tcPr>
          <w:p>
            <w:r/>
            <w:r>
              <w:rPr>
                <w:rFonts w:ascii="Arial" w:hAnsi="Arial"/>
                <w:b w:val="0"/>
                <w:sz w:val="14"/>
              </w:rPr>
              <w:t>0</w:t>
            </w:r>
          </w:p>
        </w:tc>
        <w:tc>
          <w:tcPr>
            <w:tcW w:type="dxa" w:w="2556"/>
            <w:vAlign w:val="center"/>
          </w:tcPr>
          <w:p>
            <w:r/>
            <w:r>
              <w:rPr>
                <w:rFonts w:ascii="Arial" w:hAnsi="Arial"/>
                <w:b w:val="0"/>
                <w:sz w:val="14"/>
              </w:rPr>
              <w:t>Removed from historical data</w:t>
            </w:r>
          </w:p>
        </w:tc>
      </w:tr>
      <w:tr>
        <w:tc>
          <w:tcPr>
            <w:tcW w:type="dxa" w:w="2556"/>
            <w:vAlign w:val="center"/>
          </w:tcPr>
          <w:p>
            <w:r/>
            <w:r>
              <w:rPr>
                <w:rFonts w:ascii="Arial" w:hAnsi="Arial"/>
                <w:b w:val="0"/>
                <w:sz w:val="14"/>
              </w:rPr>
              <w:t>Noncanonical category labels</w:t>
            </w:r>
          </w:p>
        </w:tc>
        <w:tc>
          <w:tcPr>
            <w:tcW w:type="dxa" w:w="2556"/>
            <w:vAlign w:val="center"/>
          </w:tcPr>
          <w:p>
            <w:r/>
            <w:r>
              <w:rPr>
                <w:rFonts w:ascii="Arial" w:hAnsi="Arial"/>
                <w:b w:val="0"/>
                <w:sz w:val="14"/>
              </w:rPr>
              <w:t>70 total across 4 fields</w:t>
            </w:r>
          </w:p>
        </w:tc>
        <w:tc>
          <w:tcPr>
            <w:tcW w:type="dxa" w:w="2556"/>
            <w:vAlign w:val="center"/>
          </w:tcPr>
          <w:p>
            <w:r/>
            <w:r>
              <w:rPr>
                <w:rFonts w:ascii="Arial" w:hAnsi="Arial"/>
                <w:b w:val="0"/>
                <w:sz w:val="14"/>
              </w:rPr>
              <w:t>20 total</w:t>
            </w:r>
          </w:p>
        </w:tc>
        <w:tc>
          <w:tcPr>
            <w:tcW w:type="dxa" w:w="2556"/>
            <w:vAlign w:val="center"/>
          </w:tcPr>
          <w:p>
            <w:r/>
            <w:r>
              <w:rPr>
                <w:rFonts w:ascii="Arial" w:hAnsi="Arial"/>
                <w:b w:val="0"/>
                <w:sz w:val="14"/>
              </w:rPr>
              <w:t>Standardized case / whitespace</w:t>
            </w:r>
          </w:p>
        </w:tc>
      </w:tr>
      <w:tr>
        <w:tc>
          <w:tcPr>
            <w:tcW w:type="dxa" w:w="2556"/>
            <w:vAlign w:val="center"/>
          </w:tcPr>
          <w:p>
            <w:r/>
            <w:r>
              <w:rPr>
                <w:rFonts w:ascii="Arial" w:hAnsi="Arial"/>
                <w:b w:val="0"/>
                <w:sz w:val="14"/>
              </w:rPr>
              <w:t>Invalid ages</w:t>
            </w:r>
          </w:p>
        </w:tc>
        <w:tc>
          <w:tcPr>
            <w:tcW w:type="dxa" w:w="2556"/>
            <w:vAlign w:val="center"/>
          </w:tcPr>
          <w:p>
            <w:r/>
            <w:r>
              <w:rPr>
                <w:rFonts w:ascii="Arial" w:hAnsi="Arial"/>
                <w:b w:val="0"/>
                <w:sz w:val="14"/>
              </w:rPr>
              <w:t>3</w:t>
            </w:r>
          </w:p>
        </w:tc>
        <w:tc>
          <w:tcPr>
            <w:tcW w:type="dxa" w:w="2556"/>
            <w:vAlign w:val="center"/>
          </w:tcPr>
          <w:p>
            <w:r/>
            <w:r>
              <w:rPr>
                <w:rFonts w:ascii="Arial" w:hAnsi="Arial"/>
                <w:b w:val="0"/>
                <w:sz w:val="14"/>
              </w:rPr>
              <w:t>3</w:t>
            </w:r>
          </w:p>
        </w:tc>
        <w:tc>
          <w:tcPr>
            <w:tcW w:type="dxa" w:w="2556"/>
            <w:vAlign w:val="center"/>
          </w:tcPr>
          <w:p>
            <w:r/>
            <w:r>
              <w:rPr>
                <w:rFonts w:ascii="Arial" w:hAnsi="Arial"/>
                <w:b w:val="0"/>
                <w:sz w:val="14"/>
              </w:rPr>
              <w:t>Converted to missing, then imputed</w:t>
            </w:r>
          </w:p>
        </w:tc>
      </w:tr>
      <w:tr>
        <w:tc>
          <w:tcPr>
            <w:tcW w:type="dxa" w:w="2556"/>
            <w:vAlign w:val="center"/>
          </w:tcPr>
          <w:p>
            <w:r/>
            <w:r>
              <w:rPr>
                <w:rFonts w:ascii="Arial" w:hAnsi="Arial"/>
                <w:b w:val="0"/>
                <w:sz w:val="14"/>
              </w:rPr>
              <w:t>Negative income / spend</w:t>
            </w:r>
          </w:p>
        </w:tc>
        <w:tc>
          <w:tcPr>
            <w:tcW w:type="dxa" w:w="2556"/>
            <w:vAlign w:val="center"/>
          </w:tcPr>
          <w:p>
            <w:r/>
            <w:r>
              <w:rPr>
                <w:rFonts w:ascii="Arial" w:hAnsi="Arial"/>
                <w:b w:val="0"/>
                <w:sz w:val="14"/>
              </w:rPr>
              <w:t>3</w:t>
            </w:r>
          </w:p>
        </w:tc>
        <w:tc>
          <w:tcPr>
            <w:tcW w:type="dxa" w:w="2556"/>
            <w:vAlign w:val="center"/>
          </w:tcPr>
          <w:p>
            <w:r/>
            <w:r>
              <w:rPr>
                <w:rFonts w:ascii="Arial" w:hAnsi="Arial"/>
                <w:b w:val="0"/>
                <w:sz w:val="14"/>
              </w:rPr>
              <w:t>3</w:t>
            </w:r>
          </w:p>
        </w:tc>
        <w:tc>
          <w:tcPr>
            <w:tcW w:type="dxa" w:w="2556"/>
            <w:vAlign w:val="center"/>
          </w:tcPr>
          <w:p>
            <w:r/>
            <w:r>
              <w:rPr>
                <w:rFonts w:ascii="Arial" w:hAnsi="Arial"/>
                <w:b w:val="0"/>
                <w:sz w:val="14"/>
              </w:rPr>
              <w:t>Converted to missing, then imputed</w:t>
            </w:r>
          </w:p>
        </w:tc>
      </w:tr>
      <w:tr>
        <w:tc>
          <w:tcPr>
            <w:tcW w:type="dxa" w:w="2556"/>
            <w:vAlign w:val="center"/>
          </w:tcPr>
          <w:p>
            <w:r/>
            <w:r>
              <w:rPr>
                <w:rFonts w:ascii="Arial" w:hAnsi="Arial"/>
                <w:b w:val="0"/>
                <w:sz w:val="14"/>
              </w:rPr>
              <w:t>Invalid satisfaction scores</w:t>
            </w:r>
          </w:p>
        </w:tc>
        <w:tc>
          <w:tcPr>
            <w:tcW w:type="dxa" w:w="2556"/>
            <w:vAlign w:val="center"/>
          </w:tcPr>
          <w:p>
            <w:r/>
            <w:r>
              <w:rPr>
                <w:rFonts w:ascii="Arial" w:hAnsi="Arial"/>
                <w:b w:val="0"/>
                <w:sz w:val="14"/>
              </w:rPr>
              <w:t>2</w:t>
            </w:r>
          </w:p>
        </w:tc>
        <w:tc>
          <w:tcPr>
            <w:tcW w:type="dxa" w:w="2556"/>
            <w:vAlign w:val="center"/>
          </w:tcPr>
          <w:p>
            <w:r/>
            <w:r>
              <w:rPr>
                <w:rFonts w:ascii="Arial" w:hAnsi="Arial"/>
                <w:b w:val="0"/>
                <w:sz w:val="14"/>
              </w:rPr>
              <w:t>2</w:t>
            </w:r>
          </w:p>
        </w:tc>
        <w:tc>
          <w:tcPr>
            <w:tcW w:type="dxa" w:w="2556"/>
            <w:vAlign w:val="center"/>
          </w:tcPr>
          <w:p>
            <w:r/>
            <w:r>
              <w:rPr>
                <w:rFonts w:ascii="Arial" w:hAnsi="Arial"/>
                <w:b w:val="0"/>
                <w:sz w:val="14"/>
              </w:rPr>
              <w:t>Outside 1-5; converted to missing</w:t>
            </w:r>
          </w:p>
        </w:tc>
      </w:tr>
    </w:tbl>
    <w:p>
      <w:pPr>
        <w:pStyle w:val="Heading2"/>
      </w:pPr>
      <w:r>
        <w:t>3.1 Outlier Decision</w:t>
      </w:r>
    </w:p>
    <w:p>
      <w:r>
        <w:t>Statistical outliers in income, spending, website visits and support tickets were retained because they were unusual but still plausible. For example, a high-value customer may legitimately spend more than the IQR fence, and repeated support tickets may represent a genuine churn signal. The final decision therefore distinguished invalid values from legitimate extreme observations rather than automatically capping them.</w:t>
      </w:r>
    </w:p>
    <w:p>
      <w:r>
        <w:t>Final prepared datasets contained zero missing values, zero exact duplicate rows, zero duplicate customer IDs, canonical categories, and compatible predictor schemas. Timeliness could not be independently verified because the files contain no extraction timestamp.</w:t>
      </w:r>
    </w:p>
    <w:p>
      <w:r>
        <w:br w:type="page"/>
      </w:r>
    </w:p>
    <w:p>
      <w:pPr>
        <w:pStyle w:val="Heading1"/>
      </w:pPr>
      <w:r>
        <w:t>4. Descriptive Analytics and Exploratory Data Analysis</w:t>
      </w:r>
    </w:p>
    <w:p>
      <w:r>
        <w:t>Historical analysis combined measures of central tendency and dispersion, group comparisons, churn-rate aggregation, and visual analysis. The overall churn rate was 20.83%.</w:t>
      </w:r>
    </w:p>
    <w:p>
      <w:pPr>
        <w:jc w:val="center"/>
      </w:pPr>
      <w:r>
        <w:drawing>
          <wp:inline xmlns:a="http://schemas.openxmlformats.org/drawingml/2006/main" xmlns:pic="http://schemas.openxmlformats.org/drawingml/2006/picture">
            <wp:extent cx="5303520" cy="3384027"/>
            <wp:docPr id="2" name="Picture 2"/>
            <wp:cNvGraphicFramePr>
              <a:graphicFrameLocks noChangeAspect="1"/>
            </wp:cNvGraphicFramePr>
            <a:graphic>
              <a:graphicData uri="http://schemas.openxmlformats.org/drawingml/2006/picture">
                <pic:pic>
                  <pic:nvPicPr>
                    <pic:cNvPr id="0" name="churn_by_complaint.png"/>
                    <pic:cNvPicPr/>
                  </pic:nvPicPr>
                  <pic:blipFill>
                    <a:blip r:embed="rId11"/>
                    <a:stretch>
                      <a:fillRect/>
                    </a:stretch>
                  </pic:blipFill>
                  <pic:spPr>
                    <a:xfrm>
                      <a:off x="0" y="0"/>
                      <a:ext cx="5303520" cy="3384027"/>
                    </a:xfrm>
                    <a:prstGeom prst="rect"/>
                  </pic:spPr>
                </pic:pic>
              </a:graphicData>
            </a:graphic>
          </wp:inline>
        </w:drawing>
      </w:r>
    </w:p>
    <w:p>
      <w:pPr>
        <w:pStyle w:val="FigureCaption"/>
        <w:jc w:val="center"/>
      </w:pPr>
      <w:r>
        <w:t>Figure 2. Customers with complaints showed more than double the historical churn rate of customers without complaints.</w:t>
      </w:r>
    </w:p>
    <w:p>
      <w:pPr>
        <w:jc w:val="center"/>
      </w:pPr>
      <w:r>
        <w:drawing>
          <wp:inline xmlns:a="http://schemas.openxmlformats.org/drawingml/2006/main" xmlns:pic="http://schemas.openxmlformats.org/drawingml/2006/picture">
            <wp:extent cx="5303520" cy="3384027"/>
            <wp:docPr id="3" name="Picture 3"/>
            <wp:cNvGraphicFramePr>
              <a:graphicFrameLocks noChangeAspect="1"/>
            </wp:cNvGraphicFramePr>
            <a:graphic>
              <a:graphicData uri="http://schemas.openxmlformats.org/drawingml/2006/picture">
                <pic:pic>
                  <pic:nvPicPr>
                    <pic:cNvPr id="0" name="churn_by_satisfaction.png"/>
                    <pic:cNvPicPr/>
                  </pic:nvPicPr>
                  <pic:blipFill>
                    <a:blip r:embed="rId12"/>
                    <a:stretch>
                      <a:fillRect/>
                    </a:stretch>
                  </pic:blipFill>
                  <pic:spPr>
                    <a:xfrm>
                      <a:off x="0" y="0"/>
                      <a:ext cx="5303520" cy="3384027"/>
                    </a:xfrm>
                    <a:prstGeom prst="rect"/>
                  </pic:spPr>
                </pic:pic>
              </a:graphicData>
            </a:graphic>
          </wp:inline>
        </w:drawing>
      </w:r>
    </w:p>
    <w:p>
      <w:pPr>
        <w:pStyle w:val="FigureCaption"/>
        <w:jc w:val="center"/>
      </w:pPr>
      <w:r>
        <w:t>Figure 3. Lower satisfaction is associated with higher churn. Score 1 has only eight customers and should be interpreted cautiously.</w:t>
      </w:r>
    </w:p>
    <w:p>
      <w:r>
        <w:br w:type="page"/>
      </w:r>
    </w:p>
    <w:p>
      <w:pPr>
        <w:pStyle w:val="Heading1"/>
      </w:pPr>
      <w:r>
        <w:t>4.1 Key Business Findings</w:t>
      </w:r>
    </w:p>
    <w:p>
      <w:pPr>
        <w:pStyle w:val="ListBullet"/>
        <w:ind w:left="0"/>
      </w:pPr>
      <w:r>
        <w:rPr>
          <w:rFonts w:ascii="Arial" w:hAnsi="Arial"/>
          <w:sz w:val="19"/>
        </w:rPr>
        <w:t>Complaint history: customers with Complaint_Flag=1 had 33.71% churn, compared with 15.40% without complaints.</w:t>
      </w:r>
    </w:p>
    <w:p>
      <w:pPr>
        <w:pStyle w:val="ListBullet"/>
        <w:ind w:left="0"/>
      </w:pPr>
      <w:r>
        <w:rPr>
          <w:rFonts w:ascii="Arial" w:hAnsi="Arial"/>
          <w:sz w:val="19"/>
        </w:rPr>
        <w:t>Campaign response: previous non-responders had 24.03% churn, compared with 15.97% among responders.</w:t>
      </w:r>
    </w:p>
    <w:p>
      <w:pPr>
        <w:pStyle w:val="ListBullet"/>
        <w:ind w:left="0"/>
      </w:pPr>
      <w:r>
        <w:rPr>
          <w:rFonts w:ascii="Arial" w:hAnsi="Arial"/>
          <w:sz w:val="19"/>
        </w:rPr>
        <w:t>Membership: Basic members had 24.20% churn, compared with 13.53% among Platinum members.</w:t>
      </w:r>
    </w:p>
    <w:p>
      <w:pPr>
        <w:pStyle w:val="ListBullet"/>
        <w:ind w:left="0"/>
      </w:pPr>
      <w:r>
        <w:rPr>
          <w:rFonts w:ascii="Arial" w:hAnsi="Arial"/>
          <w:sz w:val="19"/>
        </w:rPr>
        <w:t>Purchase recency: the highest-recency quartile had 37.67% churn, compared with 13.67% in the most recent-purchase quartile.</w:t>
      </w:r>
    </w:p>
    <w:p>
      <w:pPr>
        <w:pStyle w:val="ListBullet"/>
        <w:ind w:left="0"/>
      </w:pPr>
      <w:r>
        <w:rPr>
          <w:rFonts w:ascii="Arial" w:hAnsi="Arial"/>
          <w:sz w:val="19"/>
        </w:rPr>
        <w:t>Average purchase recency was 66.61 days for churned customers versus 36.28 days for non-churned customers.</w:t>
      </w:r>
    </w:p>
    <w:p>
      <w:pPr>
        <w:pStyle w:val="ListBullet"/>
        <w:ind w:left="0"/>
      </w:pPr>
      <w:r>
        <w:rPr>
          <w:rFonts w:ascii="Arial" w:hAnsi="Arial"/>
          <w:sz w:val="19"/>
        </w:rPr>
        <w:t>Email engagement: the lowest engagement quartile had 28.67% churn, compared with 17.33% in the highest quartile.</w:t>
      </w:r>
    </w:p>
    <w:p>
      <w:pPr>
        <w:pStyle w:val="ListBullet"/>
        <w:ind w:left="0"/>
      </w:pPr>
      <w:r>
        <w:rPr>
          <w:rFonts w:ascii="Arial" w:hAnsi="Arial"/>
          <w:sz w:val="19"/>
        </w:rPr>
        <w:t>Satisfaction: customers scoring 2 had 41.90% churn, compared with 12.87% for customers scoring 5.</w:t>
      </w:r>
    </w:p>
    <w:p>
      <w:pPr>
        <w:jc w:val="center"/>
      </w:pPr>
      <w:r>
        <w:drawing>
          <wp:inline xmlns:a="http://schemas.openxmlformats.org/drawingml/2006/main" xmlns:pic="http://schemas.openxmlformats.org/drawingml/2006/picture">
            <wp:extent cx="5577840" cy="3559063"/>
            <wp:docPr id="4" name="Picture 4"/>
            <wp:cNvGraphicFramePr>
              <a:graphicFrameLocks noChangeAspect="1"/>
            </wp:cNvGraphicFramePr>
            <a:graphic>
              <a:graphicData uri="http://schemas.openxmlformats.org/drawingml/2006/picture">
                <pic:pic>
                  <pic:nvPicPr>
                    <pic:cNvPr id="0" name="purchase_recency_by_churn.png"/>
                    <pic:cNvPicPr/>
                  </pic:nvPicPr>
                  <pic:blipFill>
                    <a:blip r:embed="rId13"/>
                    <a:stretch>
                      <a:fillRect/>
                    </a:stretch>
                  </pic:blipFill>
                  <pic:spPr>
                    <a:xfrm>
                      <a:off x="0" y="0"/>
                      <a:ext cx="5577840" cy="3559063"/>
                    </a:xfrm>
                    <a:prstGeom prst="rect"/>
                  </pic:spPr>
                </pic:pic>
              </a:graphicData>
            </a:graphic>
          </wp:inline>
        </w:drawing>
      </w:r>
    </w:p>
    <w:p>
      <w:pPr>
        <w:pStyle w:val="FigureCaption"/>
        <w:jc w:val="center"/>
      </w:pPr>
      <w:r>
        <w:t>Figure 4. Churned customers typically had longer periods since their most recent purchase.</w:t>
      </w:r>
    </w:p>
    <w:p>
      <w:r>
        <w:br w:type="page"/>
      </w:r>
    </w:p>
    <w:p>
      <w:pPr>
        <w:pStyle w:val="Heading1"/>
      </w:pPr>
      <w:r>
        <w:t>4.2 Relationships and Correlation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3F0"/>
          </w:tcPr>
          <w:p>
            <w:r/>
            <w:r>
              <w:rPr>
                <w:rFonts w:ascii="Arial" w:hAnsi="Arial"/>
                <w:b/>
                <w:sz w:val="16"/>
              </w:rPr>
              <w:t>Variable</w:t>
            </w:r>
          </w:p>
        </w:tc>
        <w:tc>
          <w:tcPr>
            <w:tcW w:type="dxa" w:w="3408"/>
            <w:vAlign w:val="center"/>
            <w:shd w:fill="D9E3F0"/>
          </w:tcPr>
          <w:p>
            <w:r/>
            <w:r>
              <w:rPr>
                <w:rFonts w:ascii="Arial" w:hAnsi="Arial"/>
                <w:b/>
                <w:sz w:val="16"/>
              </w:rPr>
              <w:t>Correlation with Churn</w:t>
            </w:r>
          </w:p>
        </w:tc>
        <w:tc>
          <w:tcPr>
            <w:tcW w:type="dxa" w:w="3408"/>
            <w:vAlign w:val="center"/>
            <w:shd w:fill="D9E3F0"/>
          </w:tcPr>
          <w:p>
            <w:r/>
            <w:r>
              <w:rPr>
                <w:rFonts w:ascii="Arial" w:hAnsi="Arial"/>
                <w:b/>
                <w:sz w:val="16"/>
              </w:rPr>
              <w:t>Interpretation</w:t>
            </w:r>
          </w:p>
        </w:tc>
      </w:tr>
      <w:tr>
        <w:tc>
          <w:tcPr>
            <w:tcW w:type="dxa" w:w="3408"/>
            <w:vAlign w:val="center"/>
          </w:tcPr>
          <w:p>
            <w:r/>
            <w:r>
              <w:rPr>
                <w:rFonts w:ascii="Arial" w:hAnsi="Arial"/>
                <w:b w:val="0"/>
                <w:sz w:val="16"/>
              </w:rPr>
              <w:t>Days_Since_Last_Purchase</w:t>
            </w:r>
          </w:p>
        </w:tc>
        <w:tc>
          <w:tcPr>
            <w:tcW w:type="dxa" w:w="3408"/>
            <w:vAlign w:val="center"/>
          </w:tcPr>
          <w:p>
            <w:r/>
            <w:r>
              <w:rPr>
                <w:rFonts w:ascii="Arial" w:hAnsi="Arial"/>
                <w:b w:val="0"/>
                <w:sz w:val="16"/>
              </w:rPr>
              <w:t>+0.2688</w:t>
            </w:r>
          </w:p>
        </w:tc>
        <w:tc>
          <w:tcPr>
            <w:tcW w:type="dxa" w:w="3408"/>
            <w:vAlign w:val="center"/>
          </w:tcPr>
          <w:p>
            <w:r/>
            <w:r>
              <w:rPr>
                <w:rFonts w:ascii="Arial" w:hAnsi="Arial"/>
                <w:b w:val="0"/>
                <w:sz w:val="16"/>
              </w:rPr>
              <w:t>Positive association with churn</w:t>
            </w:r>
          </w:p>
        </w:tc>
      </w:tr>
      <w:tr>
        <w:tc>
          <w:tcPr>
            <w:tcW w:type="dxa" w:w="3408"/>
            <w:vAlign w:val="center"/>
          </w:tcPr>
          <w:p>
            <w:r/>
            <w:r>
              <w:rPr>
                <w:rFonts w:ascii="Arial" w:hAnsi="Arial"/>
                <w:b w:val="0"/>
                <w:sz w:val="16"/>
              </w:rPr>
              <w:t>Support_Tickets_Last_6_Months</w:t>
            </w:r>
          </w:p>
        </w:tc>
        <w:tc>
          <w:tcPr>
            <w:tcW w:type="dxa" w:w="3408"/>
            <w:vAlign w:val="center"/>
          </w:tcPr>
          <w:p>
            <w:r/>
            <w:r>
              <w:rPr>
                <w:rFonts w:ascii="Arial" w:hAnsi="Arial"/>
                <w:b w:val="0"/>
                <w:sz w:val="16"/>
              </w:rPr>
              <w:t>+0.2191</w:t>
            </w:r>
          </w:p>
        </w:tc>
        <w:tc>
          <w:tcPr>
            <w:tcW w:type="dxa" w:w="3408"/>
            <w:vAlign w:val="center"/>
          </w:tcPr>
          <w:p>
            <w:r/>
            <w:r>
              <w:rPr>
                <w:rFonts w:ascii="Arial" w:hAnsi="Arial"/>
                <w:b w:val="0"/>
                <w:sz w:val="16"/>
              </w:rPr>
              <w:t>Higher support demand associated with churn</w:t>
            </w:r>
          </w:p>
        </w:tc>
      </w:tr>
      <w:tr>
        <w:tc>
          <w:tcPr>
            <w:tcW w:type="dxa" w:w="3408"/>
            <w:vAlign w:val="center"/>
          </w:tcPr>
          <w:p>
            <w:r/>
            <w:r>
              <w:rPr>
                <w:rFonts w:ascii="Arial" w:hAnsi="Arial"/>
                <w:b w:val="0"/>
                <w:sz w:val="16"/>
              </w:rPr>
              <w:t>Complaint_Flag</w:t>
            </w:r>
          </w:p>
        </w:tc>
        <w:tc>
          <w:tcPr>
            <w:tcW w:type="dxa" w:w="3408"/>
            <w:vAlign w:val="center"/>
          </w:tcPr>
          <w:p>
            <w:r/>
            <w:r>
              <w:rPr>
                <w:rFonts w:ascii="Arial" w:hAnsi="Arial"/>
                <w:b w:val="0"/>
                <w:sz w:val="16"/>
              </w:rPr>
              <w:t>+0.2059</w:t>
            </w:r>
          </w:p>
        </w:tc>
        <w:tc>
          <w:tcPr>
            <w:tcW w:type="dxa" w:w="3408"/>
            <w:vAlign w:val="center"/>
          </w:tcPr>
          <w:p>
            <w:r/>
            <w:r>
              <w:rPr>
                <w:rFonts w:ascii="Arial" w:hAnsi="Arial"/>
                <w:b w:val="0"/>
                <w:sz w:val="16"/>
              </w:rPr>
              <w:t>Complaint history associated with churn</w:t>
            </w:r>
          </w:p>
        </w:tc>
      </w:tr>
      <w:tr>
        <w:tc>
          <w:tcPr>
            <w:tcW w:type="dxa" w:w="3408"/>
            <w:vAlign w:val="center"/>
          </w:tcPr>
          <w:p>
            <w:r/>
            <w:r>
              <w:rPr>
                <w:rFonts w:ascii="Arial" w:hAnsi="Arial"/>
                <w:b w:val="0"/>
                <w:sz w:val="16"/>
              </w:rPr>
              <w:t>Satisfaction_Score</w:t>
            </w:r>
          </w:p>
        </w:tc>
        <w:tc>
          <w:tcPr>
            <w:tcW w:type="dxa" w:w="3408"/>
            <w:vAlign w:val="center"/>
          </w:tcPr>
          <w:p>
            <w:r/>
            <w:r>
              <w:rPr>
                <w:rFonts w:ascii="Arial" w:hAnsi="Arial"/>
                <w:b w:val="0"/>
                <w:sz w:val="16"/>
              </w:rPr>
              <w:t>-0.1489</w:t>
            </w:r>
          </w:p>
        </w:tc>
        <w:tc>
          <w:tcPr>
            <w:tcW w:type="dxa" w:w="3408"/>
            <w:vAlign w:val="center"/>
          </w:tcPr>
          <w:p>
            <w:r/>
            <w:r>
              <w:rPr>
                <w:rFonts w:ascii="Arial" w:hAnsi="Arial"/>
                <w:b w:val="0"/>
                <w:sz w:val="16"/>
              </w:rPr>
              <w:t>Higher satisfaction associated with lower churn</w:t>
            </w:r>
          </w:p>
        </w:tc>
      </w:tr>
      <w:tr>
        <w:tc>
          <w:tcPr>
            <w:tcW w:type="dxa" w:w="3408"/>
            <w:vAlign w:val="center"/>
          </w:tcPr>
          <w:p>
            <w:r/>
            <w:r>
              <w:rPr>
                <w:rFonts w:ascii="Arial" w:hAnsi="Arial"/>
                <w:b w:val="0"/>
                <w:sz w:val="16"/>
              </w:rPr>
              <w:t>Last_Campaign_Response</w:t>
            </w:r>
          </w:p>
        </w:tc>
        <w:tc>
          <w:tcPr>
            <w:tcW w:type="dxa" w:w="3408"/>
            <w:vAlign w:val="center"/>
          </w:tcPr>
          <w:p>
            <w:r/>
            <w:r>
              <w:rPr>
                <w:rFonts w:ascii="Arial" w:hAnsi="Arial"/>
                <w:b w:val="0"/>
                <w:sz w:val="16"/>
              </w:rPr>
              <w:t>-0.0972</w:t>
            </w:r>
          </w:p>
        </w:tc>
        <w:tc>
          <w:tcPr>
            <w:tcW w:type="dxa" w:w="3408"/>
            <w:vAlign w:val="center"/>
          </w:tcPr>
          <w:p>
            <w:r/>
            <w:r>
              <w:rPr>
                <w:rFonts w:ascii="Arial" w:hAnsi="Arial"/>
                <w:b w:val="0"/>
                <w:sz w:val="16"/>
              </w:rPr>
              <w:t>Prior response associated with lower churn</w:t>
            </w:r>
          </w:p>
        </w:tc>
      </w:tr>
      <w:tr>
        <w:tc>
          <w:tcPr>
            <w:tcW w:type="dxa" w:w="3408"/>
            <w:vAlign w:val="center"/>
          </w:tcPr>
          <w:p>
            <w:r/>
            <w:r>
              <w:rPr>
                <w:rFonts w:ascii="Arial" w:hAnsi="Arial"/>
                <w:b w:val="0"/>
                <w:sz w:val="16"/>
              </w:rPr>
              <w:t>Email_Engagement_Rate</w:t>
            </w:r>
          </w:p>
        </w:tc>
        <w:tc>
          <w:tcPr>
            <w:tcW w:type="dxa" w:w="3408"/>
            <w:vAlign w:val="center"/>
          </w:tcPr>
          <w:p>
            <w:r/>
            <w:r>
              <w:rPr>
                <w:rFonts w:ascii="Arial" w:hAnsi="Arial"/>
                <w:b w:val="0"/>
                <w:sz w:val="16"/>
              </w:rPr>
              <w:t>-0.0862</w:t>
            </w:r>
          </w:p>
        </w:tc>
        <w:tc>
          <w:tcPr>
            <w:tcW w:type="dxa" w:w="3408"/>
            <w:vAlign w:val="center"/>
          </w:tcPr>
          <w:p>
            <w:r/>
            <w:r>
              <w:rPr>
                <w:rFonts w:ascii="Arial" w:hAnsi="Arial"/>
                <w:b w:val="0"/>
                <w:sz w:val="16"/>
              </w:rPr>
              <w:t>Higher engagement modestly associated with lower churn</w:t>
            </w:r>
          </w:p>
        </w:tc>
      </w:tr>
    </w:tbl>
    <w:p>
      <w:r>
        <w:t>Correlation indicates statistical association and does not by itself establish causation. The historical data is observational, so these relationships should be treated as signals for targeting and further investigation rather than causal effects.</w:t>
      </w:r>
    </w:p>
    <w:p>
      <w:pPr>
        <w:jc w:val="center"/>
      </w:pPr>
      <w:r>
        <w:drawing>
          <wp:inline xmlns:a="http://schemas.openxmlformats.org/drawingml/2006/main" xmlns:pic="http://schemas.openxmlformats.org/drawingml/2006/picture">
            <wp:extent cx="5669280" cy="4427980"/>
            <wp:docPr id="5" name="Picture 5"/>
            <wp:cNvGraphicFramePr>
              <a:graphicFrameLocks noChangeAspect="1"/>
            </wp:cNvGraphicFramePr>
            <a:graphic>
              <a:graphicData uri="http://schemas.openxmlformats.org/drawingml/2006/picture">
                <pic:pic>
                  <pic:nvPicPr>
                    <pic:cNvPr id="0" name="selected_correlation_matrix.png"/>
                    <pic:cNvPicPr/>
                  </pic:nvPicPr>
                  <pic:blipFill>
                    <a:blip r:embed="rId14"/>
                    <a:stretch>
                      <a:fillRect/>
                    </a:stretch>
                  </pic:blipFill>
                  <pic:spPr>
                    <a:xfrm>
                      <a:off x="0" y="0"/>
                      <a:ext cx="5669280" cy="4427980"/>
                    </a:xfrm>
                    <a:prstGeom prst="rect"/>
                  </pic:spPr>
                </pic:pic>
              </a:graphicData>
            </a:graphic>
          </wp:inline>
        </w:drawing>
      </w:r>
    </w:p>
    <w:p>
      <w:pPr>
        <w:pStyle w:val="FigureCaption"/>
        <w:jc w:val="center"/>
      </w:pPr>
      <w:r>
        <w:t>Figure 5. Selected correlation matrix for important behavioural and churn variables.</w:t>
      </w:r>
    </w:p>
    <w:p>
      <w:r>
        <w:br w:type="page"/>
      </w:r>
    </w:p>
    <w:p>
      <w:pPr>
        <w:pStyle w:val="Heading1"/>
      </w:pPr>
      <w:r>
        <w:t>5. Predictive Model Development and Validation</w:t>
      </w:r>
    </w:p>
    <w:p>
      <w:r>
        <w:t>The cleaned historical data was split into 960 training rows and 240 held-out test rows using an 80/20 stratified split (random_state=42). Both partitions retained a 20.83% churn rate. Customer_ID was excluded and the current-customer file was not used.</w:t>
      </w:r>
    </w:p>
    <w:p>
      <w:pPr>
        <w:pStyle w:val="Heading2"/>
      </w:pPr>
      <w:r>
        <w:t>5.1 Leakage-Safe Preprocessing</w:t>
      </w:r>
    </w:p>
    <w:p>
      <w:pPr>
        <w:pStyle w:val="ListBullet"/>
        <w:ind w:left="0"/>
      </w:pPr>
      <w:r>
        <w:rPr>
          <w:rFonts w:ascii="Arial" w:hAnsi="Arial"/>
          <w:sz w:val="19"/>
        </w:rPr>
        <w:t>14 numerical predictors and 4 categorical predictors were used.</w:t>
      </w:r>
    </w:p>
    <w:p>
      <w:pPr>
        <w:pStyle w:val="ListBullet"/>
        <w:ind w:left="0"/>
      </w:pPr>
      <w:r>
        <w:rPr>
          <w:rFonts w:ascii="Arial" w:hAnsi="Arial"/>
          <w:sz w:val="19"/>
        </w:rPr>
        <w:t>Categorical variables were one-hot encoded with handle_unknown="ignore".</w:t>
      </w:r>
    </w:p>
    <w:p>
      <w:pPr>
        <w:pStyle w:val="ListBullet"/>
        <w:ind w:left="0"/>
      </w:pPr>
      <w:r>
        <w:rPr>
          <w:rFonts w:ascii="Arial" w:hAnsi="Arial"/>
          <w:sz w:val="19"/>
        </w:rPr>
        <w:t>Numerical variables were standardized for Logistic Regression.</w:t>
      </w:r>
    </w:p>
    <w:p>
      <w:pPr>
        <w:pStyle w:val="ListBullet"/>
        <w:ind w:left="0"/>
      </w:pPr>
      <w:r>
        <w:rPr>
          <w:rFonts w:ascii="Arial" w:hAnsi="Arial"/>
          <w:sz w:val="19"/>
        </w:rPr>
        <w:t>All learned preprocessing was contained inside scikit-learn pipelines fitted only on training data.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3F0"/>
          </w:tcPr>
          <w:p>
            <w:r/>
            <w:r>
              <w:rPr>
                <w:rFonts w:ascii="Arial" w:hAnsi="Arial"/>
                <w:b/>
                <w:sz w:val="16"/>
              </w:rPr>
              <w:t>Baseline model</w:t>
            </w:r>
          </w:p>
        </w:tc>
        <w:tc>
          <w:tcPr>
            <w:tcW w:type="dxa" w:w="1704"/>
            <w:vAlign w:val="center"/>
            <w:shd w:fill="D9E3F0"/>
          </w:tcPr>
          <w:p>
            <w:r/>
            <w:r>
              <w:rPr>
                <w:rFonts w:ascii="Arial" w:hAnsi="Arial"/>
                <w:b/>
                <w:sz w:val="16"/>
              </w:rPr>
              <w:t>Accuracy</w:t>
            </w:r>
          </w:p>
        </w:tc>
        <w:tc>
          <w:tcPr>
            <w:tcW w:type="dxa" w:w="1704"/>
            <w:vAlign w:val="center"/>
            <w:shd w:fill="D9E3F0"/>
          </w:tcPr>
          <w:p>
            <w:r/>
            <w:r>
              <w:rPr>
                <w:rFonts w:ascii="Arial" w:hAnsi="Arial"/>
                <w:b/>
                <w:sz w:val="16"/>
              </w:rPr>
              <w:t>Precision</w:t>
            </w:r>
          </w:p>
        </w:tc>
        <w:tc>
          <w:tcPr>
            <w:tcW w:type="dxa" w:w="1704"/>
            <w:vAlign w:val="center"/>
            <w:shd w:fill="D9E3F0"/>
          </w:tcPr>
          <w:p>
            <w:r/>
            <w:r>
              <w:rPr>
                <w:rFonts w:ascii="Arial" w:hAnsi="Arial"/>
                <w:b/>
                <w:sz w:val="16"/>
              </w:rPr>
              <w:t>Recall</w:t>
            </w:r>
          </w:p>
        </w:tc>
        <w:tc>
          <w:tcPr>
            <w:tcW w:type="dxa" w:w="1704"/>
            <w:vAlign w:val="center"/>
            <w:shd w:fill="D9E3F0"/>
          </w:tcPr>
          <w:p>
            <w:r/>
            <w:r>
              <w:rPr>
                <w:rFonts w:ascii="Arial" w:hAnsi="Arial"/>
                <w:b/>
                <w:sz w:val="16"/>
              </w:rPr>
              <w:t>F1</w:t>
            </w:r>
          </w:p>
        </w:tc>
        <w:tc>
          <w:tcPr>
            <w:tcW w:type="dxa" w:w="1704"/>
            <w:vAlign w:val="center"/>
            <w:shd w:fill="D9E3F0"/>
          </w:tcPr>
          <w:p>
            <w:r/>
            <w:r>
              <w:rPr>
                <w:rFonts w:ascii="Arial" w:hAnsi="Arial"/>
                <w:b/>
                <w:sz w:val="16"/>
              </w:rPr>
              <w:t>ROC-AUC</w:t>
            </w:r>
          </w:p>
        </w:tc>
      </w:tr>
      <w:tr>
        <w:tc>
          <w:tcPr>
            <w:tcW w:type="dxa" w:w="1704"/>
            <w:vAlign w:val="center"/>
          </w:tcPr>
          <w:p>
            <w:r/>
            <w:r>
              <w:rPr>
                <w:rFonts w:ascii="Arial" w:hAnsi="Arial"/>
                <w:b w:val="0"/>
                <w:sz w:val="16"/>
              </w:rPr>
              <w:t>Logistic Regression</w:t>
            </w:r>
          </w:p>
        </w:tc>
        <w:tc>
          <w:tcPr>
            <w:tcW w:type="dxa" w:w="1704"/>
            <w:vAlign w:val="center"/>
          </w:tcPr>
          <w:p>
            <w:r/>
            <w:r>
              <w:rPr>
                <w:rFonts w:ascii="Arial" w:hAnsi="Arial"/>
                <w:b w:val="0"/>
                <w:sz w:val="16"/>
              </w:rPr>
              <w:t>0.8042</w:t>
            </w:r>
          </w:p>
        </w:tc>
        <w:tc>
          <w:tcPr>
            <w:tcW w:type="dxa" w:w="1704"/>
            <w:vAlign w:val="center"/>
          </w:tcPr>
          <w:p>
            <w:r/>
            <w:r>
              <w:rPr>
                <w:rFonts w:ascii="Arial" w:hAnsi="Arial"/>
                <w:b w:val="0"/>
                <w:sz w:val="16"/>
              </w:rPr>
              <w:t>0.5714</w:t>
            </w:r>
          </w:p>
        </w:tc>
        <w:tc>
          <w:tcPr>
            <w:tcW w:type="dxa" w:w="1704"/>
            <w:vAlign w:val="center"/>
          </w:tcPr>
          <w:p>
            <w:r/>
            <w:r>
              <w:rPr>
                <w:rFonts w:ascii="Arial" w:hAnsi="Arial"/>
                <w:b w:val="0"/>
                <w:sz w:val="16"/>
              </w:rPr>
              <w:t>0.2400</w:t>
            </w:r>
          </w:p>
        </w:tc>
        <w:tc>
          <w:tcPr>
            <w:tcW w:type="dxa" w:w="1704"/>
            <w:vAlign w:val="center"/>
          </w:tcPr>
          <w:p>
            <w:r/>
            <w:r>
              <w:rPr>
                <w:rFonts w:ascii="Arial" w:hAnsi="Arial"/>
                <w:b w:val="0"/>
                <w:sz w:val="16"/>
              </w:rPr>
              <w:t>0.3380</w:t>
            </w:r>
          </w:p>
        </w:tc>
        <w:tc>
          <w:tcPr>
            <w:tcW w:type="dxa" w:w="1704"/>
            <w:vAlign w:val="center"/>
          </w:tcPr>
          <w:p>
            <w:r/>
            <w:r>
              <w:rPr>
                <w:rFonts w:ascii="Arial" w:hAnsi="Arial"/>
                <w:b w:val="0"/>
                <w:sz w:val="16"/>
              </w:rPr>
              <w:t>0.7792</w:t>
            </w:r>
          </w:p>
        </w:tc>
      </w:tr>
      <w:tr>
        <w:tc>
          <w:tcPr>
            <w:tcW w:type="dxa" w:w="1704"/>
            <w:vAlign w:val="center"/>
          </w:tcPr>
          <w:p>
            <w:r/>
            <w:r>
              <w:rPr>
                <w:rFonts w:ascii="Arial" w:hAnsi="Arial"/>
                <w:b w:val="0"/>
                <w:sz w:val="16"/>
              </w:rPr>
              <w:t>Random Forest</w:t>
            </w:r>
          </w:p>
        </w:tc>
        <w:tc>
          <w:tcPr>
            <w:tcW w:type="dxa" w:w="1704"/>
            <w:vAlign w:val="center"/>
          </w:tcPr>
          <w:p>
            <w:r/>
            <w:r>
              <w:rPr>
                <w:rFonts w:ascii="Arial" w:hAnsi="Arial"/>
                <w:b w:val="0"/>
                <w:sz w:val="16"/>
              </w:rPr>
              <w:t>0.7875</w:t>
            </w:r>
          </w:p>
        </w:tc>
        <w:tc>
          <w:tcPr>
            <w:tcW w:type="dxa" w:w="1704"/>
            <w:vAlign w:val="center"/>
          </w:tcPr>
          <w:p>
            <w:r/>
            <w:r>
              <w:rPr>
                <w:rFonts w:ascii="Arial" w:hAnsi="Arial"/>
                <w:b w:val="0"/>
                <w:sz w:val="16"/>
              </w:rPr>
              <w:t>0.4444</w:t>
            </w:r>
          </w:p>
        </w:tc>
        <w:tc>
          <w:tcPr>
            <w:tcW w:type="dxa" w:w="1704"/>
            <w:vAlign w:val="center"/>
          </w:tcPr>
          <w:p>
            <w:r/>
            <w:r>
              <w:rPr>
                <w:rFonts w:ascii="Arial" w:hAnsi="Arial"/>
                <w:b w:val="0"/>
                <w:sz w:val="16"/>
              </w:rPr>
              <w:t>0.0800</w:t>
            </w:r>
          </w:p>
        </w:tc>
        <w:tc>
          <w:tcPr>
            <w:tcW w:type="dxa" w:w="1704"/>
            <w:vAlign w:val="center"/>
          </w:tcPr>
          <w:p>
            <w:r/>
            <w:r>
              <w:rPr>
                <w:rFonts w:ascii="Arial" w:hAnsi="Arial"/>
                <w:b w:val="0"/>
                <w:sz w:val="16"/>
              </w:rPr>
              <w:t>0.1356</w:t>
            </w:r>
          </w:p>
        </w:tc>
        <w:tc>
          <w:tcPr>
            <w:tcW w:type="dxa" w:w="1704"/>
            <w:vAlign w:val="center"/>
          </w:tcPr>
          <w:p>
            <w:r/>
            <w:r>
              <w:rPr>
                <w:rFonts w:ascii="Arial" w:hAnsi="Arial"/>
                <w:b w:val="0"/>
                <w:sz w:val="16"/>
              </w:rPr>
              <w:t>0.7211</w:t>
            </w:r>
          </w:p>
        </w:tc>
      </w:tr>
    </w:tbl>
    <w:p>
      <w:r>
        <w:t>Logistic Regression was the stronger baseline on every held-out metric. The baseline Random Forest showed severe overfitting: training performance was perfect while held-out churn recall was only 8%.</w:t>
      </w:r>
    </w:p>
    <w:p>
      <w:pPr>
        <w:jc w:val="center"/>
      </w:pPr>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logistic_roc_comparison.png"/>
                    <pic:cNvPicPr/>
                  </pic:nvPicPr>
                  <pic:blipFill>
                    <a:blip r:embed="rId15"/>
                    <a:stretch>
                      <a:fillRect/>
                    </a:stretch>
                  </pic:blipFill>
                  <pic:spPr>
                    <a:xfrm>
                      <a:off x="0" y="0"/>
                      <a:ext cx="5486400" cy="3657600"/>
                    </a:xfrm>
                    <a:prstGeom prst="rect"/>
                  </pic:spPr>
                </pic:pic>
              </a:graphicData>
            </a:graphic>
          </wp:inline>
        </w:drawing>
      </w:r>
    </w:p>
    <w:p>
      <w:pPr>
        <w:pStyle w:val="FigureCaption"/>
        <w:jc w:val="center"/>
      </w:pPr>
      <w:r>
        <w:t>Figure 6. Baseline vs class-weighted Logistic Regression ROC curves on the held-out test set.</w:t>
      </w:r>
    </w:p>
    <w:p>
      <w:r>
        <w:br w:type="page"/>
      </w:r>
    </w:p>
    <w:p>
      <w:pPr>
        <w:pStyle w:val="Heading1"/>
      </w:pPr>
      <w:r>
        <w:t>6. Model Improvement and Final Selection</w:t>
      </w:r>
    </w:p>
    <w:p>
      <w:r>
        <w:t>Two justified improvement techniques were applied: class weighting to address the 79.17%/20.83% class imbalance, and training-only hyperparameter tuning using five-fold StratifiedKFold with GridSearchCV. ROC-AUC was the primary tuning objective, while recall, F1, precision and accuracy were also monitored.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3F0"/>
          </w:tcPr>
          <w:p>
            <w:r/>
            <w:r>
              <w:rPr>
                <w:rFonts w:ascii="Arial" w:hAnsi="Arial"/>
                <w:b/>
                <w:sz w:val="14"/>
              </w:rPr>
              <w:t>Model</w:t>
            </w:r>
          </w:p>
        </w:tc>
        <w:tc>
          <w:tcPr>
            <w:tcW w:type="dxa" w:w="1461"/>
            <w:vAlign w:val="center"/>
            <w:shd w:fill="D9E3F0"/>
          </w:tcPr>
          <w:p>
            <w:r/>
            <w:r>
              <w:rPr>
                <w:rFonts w:ascii="Arial" w:hAnsi="Arial"/>
                <w:b/>
                <w:sz w:val="14"/>
              </w:rPr>
              <w:t>Version</w:t>
            </w:r>
          </w:p>
        </w:tc>
        <w:tc>
          <w:tcPr>
            <w:tcW w:type="dxa" w:w="1461"/>
            <w:vAlign w:val="center"/>
            <w:shd w:fill="D9E3F0"/>
          </w:tcPr>
          <w:p>
            <w:r/>
            <w:r>
              <w:rPr>
                <w:rFonts w:ascii="Arial" w:hAnsi="Arial"/>
                <w:b/>
                <w:sz w:val="14"/>
              </w:rPr>
              <w:t>Accuracy</w:t>
            </w:r>
          </w:p>
        </w:tc>
        <w:tc>
          <w:tcPr>
            <w:tcW w:type="dxa" w:w="1461"/>
            <w:vAlign w:val="center"/>
            <w:shd w:fill="D9E3F0"/>
          </w:tcPr>
          <w:p>
            <w:r/>
            <w:r>
              <w:rPr>
                <w:rFonts w:ascii="Arial" w:hAnsi="Arial"/>
                <w:b/>
                <w:sz w:val="14"/>
              </w:rPr>
              <w:t>Precision</w:t>
            </w:r>
          </w:p>
        </w:tc>
        <w:tc>
          <w:tcPr>
            <w:tcW w:type="dxa" w:w="1461"/>
            <w:vAlign w:val="center"/>
            <w:shd w:fill="D9E3F0"/>
          </w:tcPr>
          <w:p>
            <w:r/>
            <w:r>
              <w:rPr>
                <w:rFonts w:ascii="Arial" w:hAnsi="Arial"/>
                <w:b/>
                <w:sz w:val="14"/>
              </w:rPr>
              <w:t>Recall</w:t>
            </w:r>
          </w:p>
        </w:tc>
        <w:tc>
          <w:tcPr>
            <w:tcW w:type="dxa" w:w="1461"/>
            <w:vAlign w:val="center"/>
            <w:shd w:fill="D9E3F0"/>
          </w:tcPr>
          <w:p>
            <w:r/>
            <w:r>
              <w:rPr>
                <w:rFonts w:ascii="Arial" w:hAnsi="Arial"/>
                <w:b/>
                <w:sz w:val="14"/>
              </w:rPr>
              <w:t>F1</w:t>
            </w:r>
          </w:p>
        </w:tc>
        <w:tc>
          <w:tcPr>
            <w:tcW w:type="dxa" w:w="1461"/>
            <w:vAlign w:val="center"/>
            <w:shd w:fill="D9E3F0"/>
          </w:tcPr>
          <w:p>
            <w:r/>
            <w:r>
              <w:rPr>
                <w:rFonts w:ascii="Arial" w:hAnsi="Arial"/>
                <w:b/>
                <w:sz w:val="14"/>
              </w:rPr>
              <w:t>ROC-AUC</w:t>
            </w:r>
          </w:p>
        </w:tc>
      </w:tr>
      <w:tr>
        <w:tc>
          <w:tcPr>
            <w:tcW w:type="dxa" w:w="1461"/>
            <w:vAlign w:val="center"/>
          </w:tcPr>
          <w:p>
            <w:r/>
            <w:r>
              <w:rPr>
                <w:rFonts w:ascii="Arial" w:hAnsi="Arial"/>
                <w:b w:val="0"/>
                <w:sz w:val="14"/>
              </w:rPr>
              <w:t>Logistic Regression</w:t>
            </w:r>
          </w:p>
        </w:tc>
        <w:tc>
          <w:tcPr>
            <w:tcW w:type="dxa" w:w="1461"/>
            <w:vAlign w:val="center"/>
          </w:tcPr>
          <w:p>
            <w:r/>
            <w:r>
              <w:rPr>
                <w:rFonts w:ascii="Arial" w:hAnsi="Arial"/>
                <w:b w:val="0"/>
                <w:sz w:val="14"/>
              </w:rPr>
              <w:t>Baseline</w:t>
            </w:r>
          </w:p>
        </w:tc>
        <w:tc>
          <w:tcPr>
            <w:tcW w:type="dxa" w:w="1461"/>
            <w:vAlign w:val="center"/>
          </w:tcPr>
          <w:p>
            <w:r/>
            <w:r>
              <w:rPr>
                <w:rFonts w:ascii="Arial" w:hAnsi="Arial"/>
                <w:b w:val="0"/>
                <w:sz w:val="14"/>
              </w:rPr>
              <w:t>0.8042</w:t>
            </w:r>
          </w:p>
        </w:tc>
        <w:tc>
          <w:tcPr>
            <w:tcW w:type="dxa" w:w="1461"/>
            <w:vAlign w:val="center"/>
          </w:tcPr>
          <w:p>
            <w:r/>
            <w:r>
              <w:rPr>
                <w:rFonts w:ascii="Arial" w:hAnsi="Arial"/>
                <w:b w:val="0"/>
                <w:sz w:val="14"/>
              </w:rPr>
              <w:t>0.5714</w:t>
            </w:r>
          </w:p>
        </w:tc>
        <w:tc>
          <w:tcPr>
            <w:tcW w:type="dxa" w:w="1461"/>
            <w:vAlign w:val="center"/>
          </w:tcPr>
          <w:p>
            <w:r/>
            <w:r>
              <w:rPr>
                <w:rFonts w:ascii="Arial" w:hAnsi="Arial"/>
                <w:b w:val="0"/>
                <w:sz w:val="14"/>
              </w:rPr>
              <w:t>0.2400</w:t>
            </w:r>
          </w:p>
        </w:tc>
        <w:tc>
          <w:tcPr>
            <w:tcW w:type="dxa" w:w="1461"/>
            <w:vAlign w:val="center"/>
          </w:tcPr>
          <w:p>
            <w:r/>
            <w:r>
              <w:rPr>
                <w:rFonts w:ascii="Arial" w:hAnsi="Arial"/>
                <w:b w:val="0"/>
                <w:sz w:val="14"/>
              </w:rPr>
              <w:t>0.3380</w:t>
            </w:r>
          </w:p>
        </w:tc>
        <w:tc>
          <w:tcPr>
            <w:tcW w:type="dxa" w:w="1461"/>
            <w:vAlign w:val="center"/>
          </w:tcPr>
          <w:p>
            <w:r/>
            <w:r>
              <w:rPr>
                <w:rFonts w:ascii="Arial" w:hAnsi="Arial"/>
                <w:b w:val="0"/>
                <w:sz w:val="14"/>
              </w:rPr>
              <w:t>0.7792</w:t>
            </w:r>
          </w:p>
        </w:tc>
      </w:tr>
      <w:tr>
        <w:tc>
          <w:tcPr>
            <w:tcW w:type="dxa" w:w="1461"/>
            <w:vAlign w:val="center"/>
          </w:tcPr>
          <w:p>
            <w:r/>
            <w:r>
              <w:rPr>
                <w:rFonts w:ascii="Arial" w:hAnsi="Arial"/>
                <w:b w:val="0"/>
                <w:sz w:val="14"/>
              </w:rPr>
              <w:t>Logistic Regression</w:t>
            </w:r>
          </w:p>
        </w:tc>
        <w:tc>
          <w:tcPr>
            <w:tcW w:type="dxa" w:w="1461"/>
            <w:vAlign w:val="center"/>
          </w:tcPr>
          <w:p>
            <w:r/>
            <w:r>
              <w:rPr>
                <w:rFonts w:ascii="Arial" w:hAnsi="Arial"/>
                <w:b w:val="0"/>
                <w:sz w:val="14"/>
              </w:rPr>
              <w:t>Improved - balanced</w:t>
            </w:r>
          </w:p>
        </w:tc>
        <w:tc>
          <w:tcPr>
            <w:tcW w:type="dxa" w:w="1461"/>
            <w:vAlign w:val="center"/>
          </w:tcPr>
          <w:p>
            <w:r/>
            <w:r>
              <w:rPr>
                <w:rFonts w:ascii="Arial" w:hAnsi="Arial"/>
                <w:b w:val="0"/>
                <w:sz w:val="14"/>
              </w:rPr>
              <w:t>0.7208</w:t>
            </w:r>
          </w:p>
        </w:tc>
        <w:tc>
          <w:tcPr>
            <w:tcW w:type="dxa" w:w="1461"/>
            <w:vAlign w:val="center"/>
          </w:tcPr>
          <w:p>
            <w:r/>
            <w:r>
              <w:rPr>
                <w:rFonts w:ascii="Arial" w:hAnsi="Arial"/>
                <w:b w:val="0"/>
                <w:sz w:val="14"/>
              </w:rPr>
              <w:t>0.4000</w:t>
            </w:r>
          </w:p>
        </w:tc>
        <w:tc>
          <w:tcPr>
            <w:tcW w:type="dxa" w:w="1461"/>
            <w:vAlign w:val="center"/>
          </w:tcPr>
          <w:p>
            <w:r/>
            <w:r>
              <w:rPr>
                <w:rFonts w:ascii="Arial" w:hAnsi="Arial"/>
                <w:b w:val="0"/>
                <w:sz w:val="14"/>
              </w:rPr>
              <w:t>0.6800</w:t>
            </w:r>
          </w:p>
        </w:tc>
        <w:tc>
          <w:tcPr>
            <w:tcW w:type="dxa" w:w="1461"/>
            <w:vAlign w:val="center"/>
          </w:tcPr>
          <w:p>
            <w:r/>
            <w:r>
              <w:rPr>
                <w:rFonts w:ascii="Arial" w:hAnsi="Arial"/>
                <w:b w:val="0"/>
                <w:sz w:val="14"/>
              </w:rPr>
              <w:t>0.5037</w:t>
            </w:r>
          </w:p>
        </w:tc>
        <w:tc>
          <w:tcPr>
            <w:tcW w:type="dxa" w:w="1461"/>
            <w:vAlign w:val="center"/>
          </w:tcPr>
          <w:p>
            <w:r/>
            <w:r>
              <w:rPr>
                <w:rFonts w:ascii="Arial" w:hAnsi="Arial"/>
                <w:b w:val="0"/>
                <w:sz w:val="14"/>
              </w:rPr>
              <w:t>0.7822</w:t>
            </w:r>
          </w:p>
        </w:tc>
      </w:tr>
      <w:tr>
        <w:tc>
          <w:tcPr>
            <w:tcW w:type="dxa" w:w="1461"/>
            <w:vAlign w:val="center"/>
          </w:tcPr>
          <w:p>
            <w:r/>
            <w:r>
              <w:rPr>
                <w:rFonts w:ascii="Arial" w:hAnsi="Arial"/>
                <w:b w:val="0"/>
                <w:sz w:val="14"/>
              </w:rPr>
              <w:t>Random Forest</w:t>
            </w:r>
          </w:p>
        </w:tc>
        <w:tc>
          <w:tcPr>
            <w:tcW w:type="dxa" w:w="1461"/>
            <w:vAlign w:val="center"/>
          </w:tcPr>
          <w:p>
            <w:r/>
            <w:r>
              <w:rPr>
                <w:rFonts w:ascii="Arial" w:hAnsi="Arial"/>
                <w:b w:val="0"/>
                <w:sz w:val="14"/>
              </w:rPr>
              <w:t>Baseline</w:t>
            </w:r>
          </w:p>
        </w:tc>
        <w:tc>
          <w:tcPr>
            <w:tcW w:type="dxa" w:w="1461"/>
            <w:vAlign w:val="center"/>
          </w:tcPr>
          <w:p>
            <w:r/>
            <w:r>
              <w:rPr>
                <w:rFonts w:ascii="Arial" w:hAnsi="Arial"/>
                <w:b w:val="0"/>
                <w:sz w:val="14"/>
              </w:rPr>
              <w:t>0.7875</w:t>
            </w:r>
          </w:p>
        </w:tc>
        <w:tc>
          <w:tcPr>
            <w:tcW w:type="dxa" w:w="1461"/>
            <w:vAlign w:val="center"/>
          </w:tcPr>
          <w:p>
            <w:r/>
            <w:r>
              <w:rPr>
                <w:rFonts w:ascii="Arial" w:hAnsi="Arial"/>
                <w:b w:val="0"/>
                <w:sz w:val="14"/>
              </w:rPr>
              <w:t>0.4444</w:t>
            </w:r>
          </w:p>
        </w:tc>
        <w:tc>
          <w:tcPr>
            <w:tcW w:type="dxa" w:w="1461"/>
            <w:vAlign w:val="center"/>
          </w:tcPr>
          <w:p>
            <w:r/>
            <w:r>
              <w:rPr>
                <w:rFonts w:ascii="Arial" w:hAnsi="Arial"/>
                <w:b w:val="0"/>
                <w:sz w:val="14"/>
              </w:rPr>
              <w:t>0.0800</w:t>
            </w:r>
          </w:p>
        </w:tc>
        <w:tc>
          <w:tcPr>
            <w:tcW w:type="dxa" w:w="1461"/>
            <w:vAlign w:val="center"/>
          </w:tcPr>
          <w:p>
            <w:r/>
            <w:r>
              <w:rPr>
                <w:rFonts w:ascii="Arial" w:hAnsi="Arial"/>
                <w:b w:val="0"/>
                <w:sz w:val="14"/>
              </w:rPr>
              <w:t>0.1356</w:t>
            </w:r>
          </w:p>
        </w:tc>
        <w:tc>
          <w:tcPr>
            <w:tcW w:type="dxa" w:w="1461"/>
            <w:vAlign w:val="center"/>
          </w:tcPr>
          <w:p>
            <w:r/>
            <w:r>
              <w:rPr>
                <w:rFonts w:ascii="Arial" w:hAnsi="Arial"/>
                <w:b w:val="0"/>
                <w:sz w:val="14"/>
              </w:rPr>
              <w:t>0.7211</w:t>
            </w:r>
          </w:p>
        </w:tc>
      </w:tr>
      <w:tr>
        <w:tc>
          <w:tcPr>
            <w:tcW w:type="dxa" w:w="1461"/>
            <w:vAlign w:val="center"/>
          </w:tcPr>
          <w:p>
            <w:r/>
            <w:r>
              <w:rPr>
                <w:rFonts w:ascii="Arial" w:hAnsi="Arial"/>
                <w:b w:val="0"/>
                <w:sz w:val="14"/>
              </w:rPr>
              <w:t>Random Forest</w:t>
            </w:r>
          </w:p>
        </w:tc>
        <w:tc>
          <w:tcPr>
            <w:tcW w:type="dxa" w:w="1461"/>
            <w:vAlign w:val="center"/>
          </w:tcPr>
          <w:p>
            <w:r/>
            <w:r>
              <w:rPr>
                <w:rFonts w:ascii="Arial" w:hAnsi="Arial"/>
                <w:b w:val="0"/>
                <w:sz w:val="14"/>
              </w:rPr>
              <w:t>Improved - tuned</w:t>
            </w:r>
          </w:p>
        </w:tc>
        <w:tc>
          <w:tcPr>
            <w:tcW w:type="dxa" w:w="1461"/>
            <w:vAlign w:val="center"/>
          </w:tcPr>
          <w:p>
            <w:r/>
            <w:r>
              <w:rPr>
                <w:rFonts w:ascii="Arial" w:hAnsi="Arial"/>
                <w:b w:val="0"/>
                <w:sz w:val="14"/>
              </w:rPr>
              <w:t>0.8042</w:t>
            </w:r>
          </w:p>
        </w:tc>
        <w:tc>
          <w:tcPr>
            <w:tcW w:type="dxa" w:w="1461"/>
            <w:vAlign w:val="center"/>
          </w:tcPr>
          <w:p>
            <w:r/>
            <w:r>
              <w:rPr>
                <w:rFonts w:ascii="Arial" w:hAnsi="Arial"/>
                <w:b w:val="0"/>
                <w:sz w:val="14"/>
              </w:rPr>
              <w:t>0.5319</w:t>
            </w:r>
          </w:p>
        </w:tc>
        <w:tc>
          <w:tcPr>
            <w:tcW w:type="dxa" w:w="1461"/>
            <w:vAlign w:val="center"/>
          </w:tcPr>
          <w:p>
            <w:r/>
            <w:r>
              <w:rPr>
                <w:rFonts w:ascii="Arial" w:hAnsi="Arial"/>
                <w:b w:val="0"/>
                <w:sz w:val="14"/>
              </w:rPr>
              <w:t>0.5000</w:t>
            </w:r>
          </w:p>
        </w:tc>
        <w:tc>
          <w:tcPr>
            <w:tcW w:type="dxa" w:w="1461"/>
            <w:vAlign w:val="center"/>
          </w:tcPr>
          <w:p>
            <w:r/>
            <w:r>
              <w:rPr>
                <w:rFonts w:ascii="Arial" w:hAnsi="Arial"/>
                <w:b w:val="0"/>
                <w:sz w:val="14"/>
              </w:rPr>
              <w:t>0.5155</w:t>
            </w:r>
          </w:p>
        </w:tc>
        <w:tc>
          <w:tcPr>
            <w:tcW w:type="dxa" w:w="1461"/>
            <w:vAlign w:val="center"/>
          </w:tcPr>
          <w:p>
            <w:r/>
            <w:r>
              <w:rPr>
                <w:rFonts w:ascii="Arial" w:hAnsi="Arial"/>
                <w:b w:val="0"/>
                <w:sz w:val="14"/>
              </w:rPr>
              <w:t>0.7799</w:t>
            </w:r>
          </w:p>
        </w:tc>
      </w:tr>
    </w:tbl>
    <w:p>
      <w:pPr>
        <w:pStyle w:val="Heading2"/>
      </w:pPr>
      <w:r>
        <w:t>6.1 Final Model: Class-Weighted Logistic Regression</w:t>
      </w:r>
    </w:p>
    <w:p>
      <w:pPr>
        <w:pStyle w:val="ListBullet"/>
        <w:ind w:left="0"/>
      </w:pPr>
      <w:r>
        <w:rPr>
          <w:rFonts w:ascii="Arial" w:hAnsi="Arial"/>
          <w:sz w:val="19"/>
        </w:rPr>
        <w:t>ROC-AUC: 0.7822 vs 0.7799 for the tuned Random Forest.</w:t>
      </w:r>
    </w:p>
    <w:p>
      <w:pPr>
        <w:pStyle w:val="ListBullet"/>
        <w:ind w:left="0"/>
      </w:pPr>
      <w:r>
        <w:rPr>
          <w:rFonts w:ascii="Arial" w:hAnsi="Arial"/>
          <w:sz w:val="19"/>
        </w:rPr>
        <w:t>Recall: 68.0% vs 50.0%; the weighted logistic model detected 34 of 50 held-out churners.</w:t>
      </w:r>
    </w:p>
    <w:p>
      <w:pPr>
        <w:pStyle w:val="ListBullet"/>
        <w:ind w:left="0"/>
      </w:pPr>
      <w:r>
        <w:rPr>
          <w:rFonts w:ascii="Arial" w:hAnsi="Arial"/>
          <w:sz w:val="19"/>
        </w:rPr>
        <w:t>More stable train/CV/test behaviour and lower overfitting risk.</w:t>
      </w:r>
    </w:p>
    <w:p>
      <w:pPr>
        <w:pStyle w:val="ListBullet"/>
        <w:ind w:left="0"/>
      </w:pPr>
      <w:r>
        <w:rPr>
          <w:rFonts w:ascii="Arial" w:hAnsi="Arial"/>
          <w:sz w:val="19"/>
        </w:rPr>
        <w:t>Greater interpretability and appropriate complexity for 1,200 historical records.</w:t>
      </w:r>
    </w:p>
    <w:p>
      <w:pPr>
        <w:pStyle w:val="ListBullet"/>
        <w:ind w:left="0"/>
      </w:pPr>
      <w:r>
        <w:rPr>
          <w:rFonts w:ascii="Arial" w:hAnsi="Arial"/>
          <w:sz w:val="19"/>
        </w:rPr>
        <w:t>Supports predict_proba, which is required for customer scoring and financial expected-value calculations.</w:t>
      </w:r>
    </w:p>
    <w:p>
      <w:r>
        <w:t>The tuned Random Forest retained advantages in accuracy, precision and F1. The final model was selected because NovaMarts retention use case places high value on identifying likely churners while maintaining good ranking performance and lower generalization risk.</w:t>
      </w:r>
    </w:p>
    <w:p>
      <w:pPr>
        <w:jc w:val="center"/>
      </w:pPr>
      <w:r>
        <w:drawing>
          <wp:inline xmlns:a="http://schemas.openxmlformats.org/drawingml/2006/main" xmlns:pic="http://schemas.openxmlformats.org/drawingml/2006/picture">
            <wp:extent cx="4206240" cy="3738880"/>
            <wp:docPr id="7" name="Picture 7"/>
            <wp:cNvGraphicFramePr>
              <a:graphicFrameLocks noChangeAspect="1"/>
            </wp:cNvGraphicFramePr>
            <a:graphic>
              <a:graphicData uri="http://schemas.openxmlformats.org/drawingml/2006/picture">
                <pic:pic>
                  <pic:nvPicPr>
                    <pic:cNvPr id="0" name="final_confusion_matrix.png"/>
                    <pic:cNvPicPr/>
                  </pic:nvPicPr>
                  <pic:blipFill>
                    <a:blip r:embed="rId16"/>
                    <a:stretch>
                      <a:fillRect/>
                    </a:stretch>
                  </pic:blipFill>
                  <pic:spPr>
                    <a:xfrm>
                      <a:off x="0" y="0"/>
                      <a:ext cx="4206240" cy="3738880"/>
                    </a:xfrm>
                    <a:prstGeom prst="rect"/>
                  </pic:spPr>
                </pic:pic>
              </a:graphicData>
            </a:graphic>
          </wp:inline>
        </w:drawing>
      </w:r>
    </w:p>
    <w:p>
      <w:pPr>
        <w:pStyle w:val="FigureCaption"/>
        <w:jc w:val="center"/>
      </w:pPr>
      <w:r>
        <w:t>Figure 7. Final weighted Logistic Regression confusion matrix: 34 of 50 churners detected at the required 0.50 threshold.</w:t>
      </w:r>
    </w:p>
    <w:p>
      <w:r>
        <w:br w:type="page"/>
      </w:r>
    </w:p>
    <w:p>
      <w:pPr>
        <w:pStyle w:val="Heading1"/>
      </w:pPr>
      <w:r>
        <w:t>6.2 Probability Calibration Review</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3F0"/>
          </w:tcPr>
          <w:p>
            <w:r/>
            <w:r>
              <w:rPr>
                <w:rFonts w:ascii="Arial" w:hAnsi="Arial"/>
                <w:b/>
                <w:sz w:val="16"/>
              </w:rPr>
              <w:t>Model</w:t>
            </w:r>
          </w:p>
        </w:tc>
        <w:tc>
          <w:tcPr>
            <w:tcW w:type="dxa" w:w="1704"/>
            <w:vAlign w:val="center"/>
            <w:shd w:fill="D9E3F0"/>
          </w:tcPr>
          <w:p>
            <w:r/>
            <w:r>
              <w:rPr>
                <w:rFonts w:ascii="Arial" w:hAnsi="Arial"/>
                <w:b/>
                <w:sz w:val="16"/>
              </w:rPr>
              <w:t>Brier score</w:t>
            </w:r>
          </w:p>
        </w:tc>
        <w:tc>
          <w:tcPr>
            <w:tcW w:type="dxa" w:w="1704"/>
            <w:vAlign w:val="center"/>
            <w:shd w:fill="D9E3F0"/>
          </w:tcPr>
          <w:p>
            <w:r/>
            <w:r>
              <w:rPr>
                <w:rFonts w:ascii="Arial" w:hAnsi="Arial"/>
                <w:b/>
                <w:sz w:val="16"/>
              </w:rPr>
              <w:t>ROC-AUC</w:t>
            </w:r>
          </w:p>
        </w:tc>
        <w:tc>
          <w:tcPr>
            <w:tcW w:type="dxa" w:w="1704"/>
            <w:vAlign w:val="center"/>
            <w:shd w:fill="D9E3F0"/>
          </w:tcPr>
          <w:p>
            <w:r/>
            <w:r>
              <w:rPr>
                <w:rFonts w:ascii="Arial" w:hAnsi="Arial"/>
                <w:b/>
                <w:sz w:val="16"/>
              </w:rPr>
              <w:t>Recall</w:t>
            </w:r>
          </w:p>
        </w:tc>
        <w:tc>
          <w:tcPr>
            <w:tcW w:type="dxa" w:w="1704"/>
            <w:vAlign w:val="center"/>
            <w:shd w:fill="D9E3F0"/>
          </w:tcPr>
          <w:p>
            <w:r/>
            <w:r>
              <w:rPr>
                <w:rFonts w:ascii="Arial" w:hAnsi="Arial"/>
                <w:b/>
                <w:sz w:val="16"/>
              </w:rPr>
              <w:t>F1</w:t>
            </w:r>
          </w:p>
        </w:tc>
        <w:tc>
          <w:tcPr>
            <w:tcW w:type="dxa" w:w="1704"/>
            <w:vAlign w:val="center"/>
            <w:shd w:fill="D9E3F0"/>
          </w:tcPr>
          <w:p>
            <w:r/>
            <w:r>
              <w:rPr>
                <w:rFonts w:ascii="Arial" w:hAnsi="Arial"/>
                <w:b/>
                <w:sz w:val="16"/>
              </w:rPr>
              <w:t>Mean predicted probability</w:t>
            </w:r>
          </w:p>
        </w:tc>
      </w:tr>
      <w:tr>
        <w:tc>
          <w:tcPr>
            <w:tcW w:type="dxa" w:w="1704"/>
            <w:vAlign w:val="center"/>
          </w:tcPr>
          <w:p>
            <w:r/>
            <w:r>
              <w:rPr>
                <w:rFonts w:ascii="Arial" w:hAnsi="Arial"/>
                <w:b w:val="0"/>
                <w:sz w:val="16"/>
              </w:rPr>
              <w:t>Weighted Logistic Regression</w:t>
            </w:r>
          </w:p>
        </w:tc>
        <w:tc>
          <w:tcPr>
            <w:tcW w:type="dxa" w:w="1704"/>
            <w:vAlign w:val="center"/>
          </w:tcPr>
          <w:p>
            <w:r/>
            <w:r>
              <w:rPr>
                <w:rFonts w:ascii="Arial" w:hAnsi="Arial"/>
                <w:b w:val="0"/>
                <w:sz w:val="16"/>
              </w:rPr>
              <w:t>0.1923</w:t>
            </w:r>
          </w:p>
        </w:tc>
        <w:tc>
          <w:tcPr>
            <w:tcW w:type="dxa" w:w="1704"/>
            <w:vAlign w:val="center"/>
          </w:tcPr>
          <w:p>
            <w:r/>
            <w:r>
              <w:rPr>
                <w:rFonts w:ascii="Arial" w:hAnsi="Arial"/>
                <w:b w:val="0"/>
                <w:sz w:val="16"/>
              </w:rPr>
              <w:t>0.7822</w:t>
            </w:r>
          </w:p>
        </w:tc>
        <w:tc>
          <w:tcPr>
            <w:tcW w:type="dxa" w:w="1704"/>
            <w:vAlign w:val="center"/>
          </w:tcPr>
          <w:p>
            <w:r/>
            <w:r>
              <w:rPr>
                <w:rFonts w:ascii="Arial" w:hAnsi="Arial"/>
                <w:b w:val="0"/>
                <w:sz w:val="16"/>
              </w:rPr>
              <w:t>0.6800</w:t>
            </w:r>
          </w:p>
        </w:tc>
        <w:tc>
          <w:tcPr>
            <w:tcW w:type="dxa" w:w="1704"/>
            <w:vAlign w:val="center"/>
          </w:tcPr>
          <w:p>
            <w:r/>
            <w:r>
              <w:rPr>
                <w:rFonts w:ascii="Arial" w:hAnsi="Arial"/>
                <w:b w:val="0"/>
                <w:sz w:val="16"/>
              </w:rPr>
              <w:t>0.5037</w:t>
            </w:r>
          </w:p>
        </w:tc>
        <w:tc>
          <w:tcPr>
            <w:tcW w:type="dxa" w:w="1704"/>
            <w:vAlign w:val="center"/>
          </w:tcPr>
          <w:p>
            <w:r/>
            <w:r>
              <w:rPr>
                <w:rFonts w:ascii="Arial" w:hAnsi="Arial"/>
                <w:b w:val="0"/>
                <w:sz w:val="16"/>
              </w:rPr>
              <w:t>43.87%</w:t>
            </w:r>
          </w:p>
        </w:tc>
      </w:tr>
      <w:tr>
        <w:tc>
          <w:tcPr>
            <w:tcW w:type="dxa" w:w="1704"/>
            <w:vAlign w:val="center"/>
          </w:tcPr>
          <w:p>
            <w:r/>
            <w:r>
              <w:rPr>
                <w:rFonts w:ascii="Arial" w:hAnsi="Arial"/>
                <w:b w:val="0"/>
                <w:sz w:val="16"/>
              </w:rPr>
              <w:t>Sigmoid calibrated LR</w:t>
            </w:r>
          </w:p>
        </w:tc>
        <w:tc>
          <w:tcPr>
            <w:tcW w:type="dxa" w:w="1704"/>
            <w:vAlign w:val="center"/>
          </w:tcPr>
          <w:p>
            <w:r/>
            <w:r>
              <w:rPr>
                <w:rFonts w:ascii="Arial" w:hAnsi="Arial"/>
                <w:b w:val="0"/>
                <w:sz w:val="16"/>
              </w:rPr>
              <w:t>0.1383</w:t>
            </w:r>
          </w:p>
        </w:tc>
        <w:tc>
          <w:tcPr>
            <w:tcW w:type="dxa" w:w="1704"/>
            <w:vAlign w:val="center"/>
          </w:tcPr>
          <w:p>
            <w:r/>
            <w:r>
              <w:rPr>
                <w:rFonts w:ascii="Arial" w:hAnsi="Arial"/>
                <w:b w:val="0"/>
                <w:sz w:val="16"/>
              </w:rPr>
              <w:t>0.7819</w:t>
            </w:r>
          </w:p>
        </w:tc>
        <w:tc>
          <w:tcPr>
            <w:tcW w:type="dxa" w:w="1704"/>
            <w:vAlign w:val="center"/>
          </w:tcPr>
          <w:p>
            <w:r/>
            <w:r>
              <w:rPr>
                <w:rFonts w:ascii="Arial" w:hAnsi="Arial"/>
                <w:b w:val="0"/>
                <w:sz w:val="16"/>
              </w:rPr>
              <w:t>0.1200</w:t>
            </w:r>
          </w:p>
        </w:tc>
        <w:tc>
          <w:tcPr>
            <w:tcW w:type="dxa" w:w="1704"/>
            <w:vAlign w:val="center"/>
          </w:tcPr>
          <w:p>
            <w:r/>
            <w:r>
              <w:rPr>
                <w:rFonts w:ascii="Arial" w:hAnsi="Arial"/>
                <w:b w:val="0"/>
                <w:sz w:val="16"/>
              </w:rPr>
              <w:t>0.1905</w:t>
            </w:r>
          </w:p>
        </w:tc>
        <w:tc>
          <w:tcPr>
            <w:tcW w:type="dxa" w:w="1704"/>
            <w:vAlign w:val="center"/>
          </w:tcPr>
          <w:p>
            <w:r/>
            <w:r>
              <w:rPr>
                <w:rFonts w:ascii="Arial" w:hAnsi="Arial"/>
                <w:b w:val="0"/>
                <w:sz w:val="16"/>
              </w:rPr>
              <w:t>20.77%</w:t>
            </w:r>
          </w:p>
        </w:tc>
      </w:tr>
    </w:tbl>
    <w:p>
      <w:r>
        <w:t>The observed churn rate in the held-out test set was 20.83%. Sigmoid calibration materially improved Brier score and aligned the mean predicted probability with the observed rate, while discrimination stayed nearly unchanged. However, at the mandatory 0.50 classification threshold, recall fell from 68% to 12% and F1 from 0.5037 to 0.1905. The same recall deterioration was observed in training-only nested cross-validation.</w:t>
      </w:r>
    </w:p>
    <w:p>
      <w:r>
        <w:t>The uncalibrated class-weighted Logistic Regression was therefore retained as the final model. This decision favors operational churn detection under the assignment threshold, but it creates an important limitation: probability-based financial values may be optimistic. Campaign economics should therefore be interpreted as model-based expected values and validated in a real pilot before operational scaling.</w:t>
      </w:r>
    </w:p>
    <w:p>
      <w:r>
        <w:br w:type="page"/>
      </w:r>
    </w:p>
    <w:p>
      <w:pPr>
        <w:pStyle w:val="Heading1"/>
      </w:pPr>
      <w:r>
        <w:t>7. Current Customer Scoring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3F0"/>
          </w:tcPr>
          <w:p>
            <w:r/>
            <w:r>
              <w:rPr>
                <w:rFonts w:ascii="Arial" w:hAnsi="Arial"/>
                <w:b/>
                <w:sz w:val="17"/>
              </w:rPr>
              <w:t>Measure</w:t>
            </w:r>
          </w:p>
        </w:tc>
        <w:tc>
          <w:tcPr>
            <w:tcW w:type="dxa" w:w="5112"/>
            <w:vAlign w:val="center"/>
            <w:shd w:fill="D9E3F0"/>
          </w:tcPr>
          <w:p>
            <w:r/>
            <w:r>
              <w:rPr>
                <w:rFonts w:ascii="Arial" w:hAnsi="Arial"/>
                <w:b/>
                <w:sz w:val="17"/>
              </w:rPr>
              <w:t>Result</w:t>
            </w:r>
          </w:p>
        </w:tc>
      </w:tr>
      <w:tr>
        <w:tc>
          <w:tcPr>
            <w:tcW w:type="dxa" w:w="5112"/>
            <w:vAlign w:val="center"/>
          </w:tcPr>
          <w:p>
            <w:r/>
            <w:r>
              <w:rPr>
                <w:rFonts w:ascii="Arial" w:hAnsi="Arial"/>
                <w:b w:val="0"/>
                <w:sz w:val="17"/>
              </w:rPr>
              <w:t>Customers scored</w:t>
            </w:r>
          </w:p>
        </w:tc>
        <w:tc>
          <w:tcPr>
            <w:tcW w:type="dxa" w:w="5112"/>
            <w:vAlign w:val="center"/>
          </w:tcPr>
          <w:p>
            <w:r/>
            <w:r>
              <w:rPr>
                <w:rFonts w:ascii="Arial" w:hAnsi="Arial"/>
                <w:b w:val="0"/>
                <w:sz w:val="17"/>
              </w:rPr>
              <w:t>300</w:t>
            </w:r>
          </w:p>
        </w:tc>
      </w:tr>
      <w:tr>
        <w:tc>
          <w:tcPr>
            <w:tcW w:type="dxa" w:w="5112"/>
            <w:vAlign w:val="center"/>
          </w:tcPr>
          <w:p>
            <w:r/>
            <w:r>
              <w:rPr>
                <w:rFonts w:ascii="Arial" w:hAnsi="Arial"/>
                <w:b w:val="0"/>
                <w:sz w:val="17"/>
              </w:rPr>
              <w:t>Minimum churn probability</w:t>
            </w:r>
          </w:p>
        </w:tc>
        <w:tc>
          <w:tcPr>
            <w:tcW w:type="dxa" w:w="5112"/>
            <w:vAlign w:val="center"/>
          </w:tcPr>
          <w:p>
            <w:r/>
            <w:r>
              <w:rPr>
                <w:rFonts w:ascii="Arial" w:hAnsi="Arial"/>
                <w:b w:val="0"/>
                <w:sz w:val="17"/>
              </w:rPr>
              <w:t>2.66%</w:t>
            </w:r>
          </w:p>
        </w:tc>
      </w:tr>
      <w:tr>
        <w:tc>
          <w:tcPr>
            <w:tcW w:type="dxa" w:w="5112"/>
            <w:vAlign w:val="center"/>
          </w:tcPr>
          <w:p>
            <w:r/>
            <w:r>
              <w:rPr>
                <w:rFonts w:ascii="Arial" w:hAnsi="Arial"/>
                <w:b w:val="0"/>
                <w:sz w:val="17"/>
              </w:rPr>
              <w:t>Mean churn probability</w:t>
            </w:r>
          </w:p>
        </w:tc>
        <w:tc>
          <w:tcPr>
            <w:tcW w:type="dxa" w:w="5112"/>
            <w:vAlign w:val="center"/>
          </w:tcPr>
          <w:p>
            <w:r/>
            <w:r>
              <w:rPr>
                <w:rFonts w:ascii="Arial" w:hAnsi="Arial"/>
                <w:b w:val="0"/>
                <w:sz w:val="17"/>
              </w:rPr>
              <w:t>43.22%</w:t>
            </w:r>
          </w:p>
        </w:tc>
      </w:tr>
      <w:tr>
        <w:tc>
          <w:tcPr>
            <w:tcW w:type="dxa" w:w="5112"/>
            <w:vAlign w:val="center"/>
          </w:tcPr>
          <w:p>
            <w:r/>
            <w:r>
              <w:rPr>
                <w:rFonts w:ascii="Arial" w:hAnsi="Arial"/>
                <w:b w:val="0"/>
                <w:sz w:val="17"/>
              </w:rPr>
              <w:t>Median churn probability</w:t>
            </w:r>
          </w:p>
        </w:tc>
        <w:tc>
          <w:tcPr>
            <w:tcW w:type="dxa" w:w="5112"/>
            <w:vAlign w:val="center"/>
          </w:tcPr>
          <w:p>
            <w:r/>
            <w:r>
              <w:rPr>
                <w:rFonts w:ascii="Arial" w:hAnsi="Arial"/>
                <w:b w:val="0"/>
                <w:sz w:val="17"/>
              </w:rPr>
              <w:t>37.29%</w:t>
            </w:r>
          </w:p>
        </w:tc>
      </w:tr>
      <w:tr>
        <w:tc>
          <w:tcPr>
            <w:tcW w:type="dxa" w:w="5112"/>
            <w:vAlign w:val="center"/>
          </w:tcPr>
          <w:p>
            <w:r/>
            <w:r>
              <w:rPr>
                <w:rFonts w:ascii="Arial" w:hAnsi="Arial"/>
                <w:b w:val="0"/>
                <w:sz w:val="17"/>
              </w:rPr>
              <w:t>Maximum churn probability</w:t>
            </w:r>
          </w:p>
        </w:tc>
        <w:tc>
          <w:tcPr>
            <w:tcW w:type="dxa" w:w="5112"/>
            <w:vAlign w:val="center"/>
          </w:tcPr>
          <w:p>
            <w:r/>
            <w:r>
              <w:rPr>
                <w:rFonts w:ascii="Arial" w:hAnsi="Arial"/>
                <w:b w:val="0"/>
                <w:sz w:val="17"/>
              </w:rPr>
              <w:t>99.99%</w:t>
            </w:r>
          </w:p>
        </w:tc>
      </w:tr>
      <w:tr>
        <w:tc>
          <w:tcPr>
            <w:tcW w:type="dxa" w:w="5112"/>
            <w:vAlign w:val="center"/>
          </w:tcPr>
          <w:p>
            <w:r/>
            <w:r>
              <w:rPr>
                <w:rFonts w:ascii="Arial" w:hAnsi="Arial"/>
                <w:b w:val="0"/>
                <w:sz w:val="17"/>
              </w:rPr>
              <w:t>Predicted churners</w:t>
            </w:r>
          </w:p>
        </w:tc>
        <w:tc>
          <w:tcPr>
            <w:tcW w:type="dxa" w:w="5112"/>
            <w:vAlign w:val="center"/>
          </w:tcPr>
          <w:p>
            <w:r/>
            <w:r>
              <w:rPr>
                <w:rFonts w:ascii="Arial" w:hAnsi="Arial"/>
                <w:b w:val="0"/>
                <w:sz w:val="17"/>
              </w:rPr>
              <w:t>105 (35.00%)</w:t>
            </w:r>
          </w:p>
        </w:tc>
      </w:tr>
      <w:tr>
        <w:tc>
          <w:tcPr>
            <w:tcW w:type="dxa" w:w="5112"/>
            <w:vAlign w:val="center"/>
          </w:tcPr>
          <w:p>
            <w:r/>
            <w:r>
              <w:rPr>
                <w:rFonts w:ascii="Arial" w:hAnsi="Arial"/>
                <w:b w:val="0"/>
                <w:sz w:val="17"/>
              </w:rPr>
              <w:t>Eligibility rule</w:t>
            </w:r>
          </w:p>
        </w:tc>
        <w:tc>
          <w:tcPr>
            <w:tcW w:type="dxa" w:w="5112"/>
            <w:vAlign w:val="center"/>
          </w:tcPr>
          <w:p>
            <w:r/>
            <w:r>
              <w:rPr>
                <w:rFonts w:ascii="Arial" w:hAnsi="Arial"/>
                <w:b w:val="0"/>
                <w:sz w:val="17"/>
              </w:rPr>
              <w:t>Predicted_Churn=1 AND Expected_Net_Benefit_JD&gt;0</w:t>
            </w:r>
          </w:p>
        </w:tc>
      </w:tr>
      <w:tr>
        <w:tc>
          <w:tcPr>
            <w:tcW w:type="dxa" w:w="5112"/>
            <w:vAlign w:val="center"/>
          </w:tcPr>
          <w:p>
            <w:r/>
            <w:r>
              <w:rPr>
                <w:rFonts w:ascii="Arial" w:hAnsi="Arial"/>
                <w:b w:val="0"/>
                <w:sz w:val="17"/>
              </w:rPr>
              <w:t>Eligible customers</w:t>
            </w:r>
          </w:p>
        </w:tc>
        <w:tc>
          <w:tcPr>
            <w:tcW w:type="dxa" w:w="5112"/>
            <w:vAlign w:val="center"/>
          </w:tcPr>
          <w:p>
            <w:r/>
            <w:r>
              <w:rPr>
                <w:rFonts w:ascii="Arial" w:hAnsi="Arial"/>
                <w:b w:val="0"/>
                <w:sz w:val="17"/>
              </w:rPr>
              <w:t>105</w:t>
            </w:r>
          </w:p>
        </w:tc>
      </w:tr>
      <w:tr>
        <w:tc>
          <w:tcPr>
            <w:tcW w:type="dxa" w:w="5112"/>
            <w:vAlign w:val="center"/>
          </w:tcPr>
          <w:p>
            <w:r/>
            <w:r>
              <w:rPr>
                <w:rFonts w:ascii="Arial" w:hAnsi="Arial"/>
                <w:b w:val="0"/>
                <w:sz w:val="17"/>
              </w:rPr>
              <w:t>Final selected customers</w:t>
            </w:r>
          </w:p>
        </w:tc>
        <w:tc>
          <w:tcPr>
            <w:tcW w:type="dxa" w:w="5112"/>
            <w:vAlign w:val="center"/>
          </w:tcPr>
          <w:p>
            <w:r/>
            <w:r>
              <w:rPr>
                <w:rFonts w:ascii="Arial" w:hAnsi="Arial"/>
                <w:b w:val="0"/>
                <w:sz w:val="17"/>
              </w:rPr>
              <w:t>50</w:t>
            </w:r>
          </w:p>
        </w:tc>
      </w:tr>
    </w:tbl>
    <w:p>
      <w:r>
        <w:t>The final model was refitted on all 1,200 cleaned historical customers and applied to the 300 cleaned current customers. Predicted_Churn followed the assignment rule exactly: probability &gt;= 0.50.</w:t>
      </w:r>
    </w:p>
    <w:p>
      <w:pPr>
        <w:jc w:val="center"/>
      </w:pPr>
      <w:r>
        <w:drawing>
          <wp:inline xmlns:a="http://schemas.openxmlformats.org/drawingml/2006/main" xmlns:pic="http://schemas.openxmlformats.org/drawingml/2006/picture">
            <wp:extent cx="5669280" cy="3617408"/>
            <wp:docPr id="8" name="Picture 8"/>
            <wp:cNvGraphicFramePr>
              <a:graphicFrameLocks noChangeAspect="1"/>
            </wp:cNvGraphicFramePr>
            <a:graphic>
              <a:graphicData uri="http://schemas.openxmlformats.org/drawingml/2006/picture">
                <pic:pic>
                  <pic:nvPicPr>
                    <pic:cNvPr id="0" name="current_probability_distribution.png"/>
                    <pic:cNvPicPr/>
                  </pic:nvPicPr>
                  <pic:blipFill>
                    <a:blip r:embed="rId17"/>
                    <a:stretch>
                      <a:fillRect/>
                    </a:stretch>
                  </pic:blipFill>
                  <pic:spPr>
                    <a:xfrm>
                      <a:off x="0" y="0"/>
                      <a:ext cx="5669280" cy="3617408"/>
                    </a:xfrm>
                    <a:prstGeom prst="rect"/>
                  </pic:spPr>
                </pic:pic>
              </a:graphicData>
            </a:graphic>
          </wp:inline>
        </w:drawing>
      </w:r>
    </w:p>
    <w:p>
      <w:pPr>
        <w:pStyle w:val="FigureCaption"/>
        <w:jc w:val="center"/>
      </w:pPr>
      <w:r>
        <w:t>Figure 8. Current-customer predicted churn probabilities. The dashed line shows the required 0.50 classification threshold.</w:t>
      </w:r>
    </w:p>
    <w:p>
      <w:r>
        <w:br w:type="page"/>
      </w:r>
    </w:p>
    <w:p>
      <w:pPr>
        <w:pStyle w:val="Heading1"/>
      </w:pPr>
      <w:r>
        <w:t>8. Prescriptive Retention Campaign</w:t>
      </w:r>
    </w:p>
    <w:p>
      <w:r>
        <w:t>The assignment supplied the following business assumptions and formulas: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3F0"/>
          </w:tcPr>
          <w:p>
            <w:r/>
            <w:r>
              <w:rPr>
                <w:rFonts w:ascii="Arial" w:hAnsi="Arial"/>
                <w:b/>
                <w:sz w:val="17"/>
              </w:rPr>
              <w:t>Measure</w:t>
            </w:r>
          </w:p>
        </w:tc>
        <w:tc>
          <w:tcPr>
            <w:tcW w:type="dxa" w:w="5112"/>
            <w:vAlign w:val="center"/>
            <w:shd w:fill="D9E3F0"/>
          </w:tcPr>
          <w:p>
            <w:r/>
            <w:r>
              <w:rPr>
                <w:rFonts w:ascii="Arial" w:hAnsi="Arial"/>
                <w:b/>
                <w:sz w:val="17"/>
              </w:rPr>
              <w:t>Formula</w:t>
            </w:r>
          </w:p>
        </w:tc>
      </w:tr>
      <w:tr>
        <w:tc>
          <w:tcPr>
            <w:tcW w:type="dxa" w:w="5112"/>
            <w:vAlign w:val="center"/>
          </w:tcPr>
          <w:p>
            <w:r/>
            <w:r>
              <w:rPr>
                <w:rFonts w:ascii="Arial" w:hAnsi="Arial"/>
                <w:b w:val="0"/>
                <w:sz w:val="17"/>
              </w:rPr>
              <w:t>Annual spending</w:t>
            </w:r>
          </w:p>
        </w:tc>
        <w:tc>
          <w:tcPr>
            <w:tcW w:type="dxa" w:w="5112"/>
            <w:vAlign w:val="center"/>
          </w:tcPr>
          <w:p>
            <w:r/>
            <w:r>
              <w:rPr>
                <w:rFonts w:ascii="Arial" w:hAnsi="Arial"/>
                <w:b w:val="0"/>
                <w:sz w:val="17"/>
              </w:rPr>
              <w:t>Monthly_Spend_JD x 12</w:t>
            </w:r>
          </w:p>
        </w:tc>
      </w:tr>
      <w:tr>
        <w:tc>
          <w:tcPr>
            <w:tcW w:type="dxa" w:w="5112"/>
            <w:vAlign w:val="center"/>
          </w:tcPr>
          <w:p>
            <w:r/>
            <w:r>
              <w:rPr>
                <w:rFonts w:ascii="Arial" w:hAnsi="Arial"/>
                <w:b w:val="0"/>
                <w:sz w:val="17"/>
              </w:rPr>
              <w:t>Annual profit</w:t>
            </w:r>
          </w:p>
        </w:tc>
        <w:tc>
          <w:tcPr>
            <w:tcW w:type="dxa" w:w="5112"/>
            <w:vAlign w:val="center"/>
          </w:tcPr>
          <w:p>
            <w:r/>
            <w:r>
              <w:rPr>
                <w:rFonts w:ascii="Arial" w:hAnsi="Arial"/>
                <w:b w:val="0"/>
                <w:sz w:val="17"/>
              </w:rPr>
              <w:t>Annual_Spending_JD x 0.25</w:t>
            </w:r>
          </w:p>
        </w:tc>
      </w:tr>
      <w:tr>
        <w:tc>
          <w:tcPr>
            <w:tcW w:type="dxa" w:w="5112"/>
            <w:vAlign w:val="center"/>
          </w:tcPr>
          <w:p>
            <w:r/>
            <w:r>
              <w:rPr>
                <w:rFonts w:ascii="Arial" w:hAnsi="Arial"/>
                <w:b w:val="0"/>
                <w:sz w:val="17"/>
              </w:rPr>
              <w:t>Expected saved profit</w:t>
            </w:r>
          </w:p>
        </w:tc>
        <w:tc>
          <w:tcPr>
            <w:tcW w:type="dxa" w:w="5112"/>
            <w:vAlign w:val="center"/>
          </w:tcPr>
          <w:p>
            <w:r/>
            <w:r>
              <w:rPr>
                <w:rFonts w:ascii="Arial" w:hAnsi="Arial"/>
                <w:b w:val="0"/>
                <w:sz w:val="17"/>
              </w:rPr>
              <w:t>Churn_Probability x 0.35 x Annual_Profit_JD</w:t>
            </w:r>
          </w:p>
        </w:tc>
      </w:tr>
      <w:tr>
        <w:tc>
          <w:tcPr>
            <w:tcW w:type="dxa" w:w="5112"/>
            <w:vAlign w:val="center"/>
          </w:tcPr>
          <w:p>
            <w:r/>
            <w:r>
              <w:rPr>
                <w:rFonts w:ascii="Arial" w:hAnsi="Arial"/>
                <w:b w:val="0"/>
                <w:sz w:val="17"/>
              </w:rPr>
              <w:t>Expected net benefit</w:t>
            </w:r>
          </w:p>
        </w:tc>
        <w:tc>
          <w:tcPr>
            <w:tcW w:type="dxa" w:w="5112"/>
            <w:vAlign w:val="center"/>
          </w:tcPr>
          <w:p>
            <w:r/>
            <w:r>
              <w:rPr>
                <w:rFonts w:ascii="Arial" w:hAnsi="Arial"/>
                <w:b w:val="0"/>
                <w:sz w:val="17"/>
              </w:rPr>
              <w:t>Expected_Saved_Profit_JD - 20</w:t>
            </w:r>
          </w:p>
        </w:tc>
      </w:tr>
    </w:tbl>
    <w:p>
      <w:r>
        <w:t>A customer was eligible only if Predicted_Churn=1 and Expected_Net_Benefit_JD&gt;0. Eligible customers were ranked by expected net benefit, and the final campaign selected the top 50.</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3F0"/>
          </w:tcPr>
          <w:p>
            <w:r/>
            <w:r>
              <w:rPr>
                <w:rFonts w:ascii="Arial" w:hAnsi="Arial"/>
                <w:b/>
                <w:sz w:val="14"/>
              </w:rPr>
              <w:t>Customer</w:t>
            </w:r>
          </w:p>
        </w:tc>
        <w:tc>
          <w:tcPr>
            <w:tcW w:type="dxa" w:w="1704"/>
            <w:vAlign w:val="center"/>
            <w:shd w:fill="D9E3F0"/>
          </w:tcPr>
          <w:p>
            <w:r/>
            <w:r>
              <w:rPr>
                <w:rFonts w:ascii="Arial" w:hAnsi="Arial"/>
                <w:b/>
                <w:sz w:val="14"/>
              </w:rPr>
              <w:t>Churn prob.</w:t>
            </w:r>
          </w:p>
        </w:tc>
        <w:tc>
          <w:tcPr>
            <w:tcW w:type="dxa" w:w="1704"/>
            <w:vAlign w:val="center"/>
            <w:shd w:fill="D9E3F0"/>
          </w:tcPr>
          <w:p>
            <w:r/>
            <w:r>
              <w:rPr>
                <w:rFonts w:ascii="Arial" w:hAnsi="Arial"/>
                <w:b/>
                <w:sz w:val="14"/>
              </w:rPr>
              <w:t>Monthly spend</w:t>
            </w:r>
          </w:p>
        </w:tc>
        <w:tc>
          <w:tcPr>
            <w:tcW w:type="dxa" w:w="1704"/>
            <w:vAlign w:val="center"/>
            <w:shd w:fill="D9E3F0"/>
          </w:tcPr>
          <w:p>
            <w:r/>
            <w:r>
              <w:rPr>
                <w:rFonts w:ascii="Arial" w:hAnsi="Arial"/>
                <w:b/>
                <w:sz w:val="14"/>
              </w:rPr>
              <w:t>Annual profit</w:t>
            </w:r>
          </w:p>
        </w:tc>
        <w:tc>
          <w:tcPr>
            <w:tcW w:type="dxa" w:w="1704"/>
            <w:vAlign w:val="center"/>
            <w:shd w:fill="D9E3F0"/>
          </w:tcPr>
          <w:p>
            <w:r/>
            <w:r>
              <w:rPr>
                <w:rFonts w:ascii="Arial" w:hAnsi="Arial"/>
                <w:b/>
                <w:sz w:val="14"/>
              </w:rPr>
              <w:t>Expected saved</w:t>
            </w:r>
          </w:p>
        </w:tc>
        <w:tc>
          <w:tcPr>
            <w:tcW w:type="dxa" w:w="1704"/>
            <w:vAlign w:val="center"/>
            <w:shd w:fill="D9E3F0"/>
          </w:tcPr>
          <w:p>
            <w:r/>
            <w:r>
              <w:rPr>
                <w:rFonts w:ascii="Arial" w:hAnsi="Arial"/>
                <w:b/>
                <w:sz w:val="14"/>
              </w:rPr>
              <w:t>Expected net</w:t>
            </w:r>
          </w:p>
        </w:tc>
      </w:tr>
      <w:tr>
        <w:tc>
          <w:tcPr>
            <w:tcW w:type="dxa" w:w="1704"/>
            <w:vAlign w:val="center"/>
          </w:tcPr>
          <w:p>
            <w:r/>
            <w:r>
              <w:rPr>
                <w:rFonts w:ascii="Arial" w:hAnsi="Arial"/>
                <w:b w:val="0"/>
                <w:sz w:val="14"/>
              </w:rPr>
              <w:t>C20099</w:t>
            </w:r>
          </w:p>
        </w:tc>
        <w:tc>
          <w:tcPr>
            <w:tcW w:type="dxa" w:w="1704"/>
            <w:vAlign w:val="center"/>
          </w:tcPr>
          <w:p>
            <w:r/>
            <w:r>
              <w:rPr>
                <w:rFonts w:ascii="Arial" w:hAnsi="Arial"/>
                <w:b w:val="0"/>
                <w:sz w:val="14"/>
              </w:rPr>
              <w:t>0.7390</w:t>
            </w:r>
          </w:p>
        </w:tc>
        <w:tc>
          <w:tcPr>
            <w:tcW w:type="dxa" w:w="1704"/>
            <w:vAlign w:val="center"/>
          </w:tcPr>
          <w:p>
            <w:r/>
            <w:r>
              <w:rPr>
                <w:rFonts w:ascii="Arial" w:hAnsi="Arial"/>
                <w:b w:val="0"/>
                <w:sz w:val="14"/>
              </w:rPr>
              <w:t>410.91</w:t>
            </w:r>
          </w:p>
        </w:tc>
        <w:tc>
          <w:tcPr>
            <w:tcW w:type="dxa" w:w="1704"/>
            <w:vAlign w:val="center"/>
          </w:tcPr>
          <w:p>
            <w:r/>
            <w:r>
              <w:rPr>
                <w:rFonts w:ascii="Arial" w:hAnsi="Arial"/>
                <w:b w:val="0"/>
                <w:sz w:val="14"/>
              </w:rPr>
              <w:t>1232.73</w:t>
            </w:r>
          </w:p>
        </w:tc>
        <w:tc>
          <w:tcPr>
            <w:tcW w:type="dxa" w:w="1704"/>
            <w:vAlign w:val="center"/>
          </w:tcPr>
          <w:p>
            <w:r/>
            <w:r>
              <w:rPr>
                <w:rFonts w:ascii="Arial" w:hAnsi="Arial"/>
                <w:b w:val="0"/>
                <w:sz w:val="14"/>
              </w:rPr>
              <w:t>318.83</w:t>
            </w:r>
          </w:p>
        </w:tc>
        <w:tc>
          <w:tcPr>
            <w:tcW w:type="dxa" w:w="1704"/>
            <w:vAlign w:val="center"/>
          </w:tcPr>
          <w:p>
            <w:r/>
            <w:r>
              <w:rPr>
                <w:rFonts w:ascii="Arial" w:hAnsi="Arial"/>
                <w:b w:val="0"/>
                <w:sz w:val="14"/>
              </w:rPr>
              <w:t>298.83</w:t>
            </w:r>
          </w:p>
        </w:tc>
      </w:tr>
      <w:tr>
        <w:tc>
          <w:tcPr>
            <w:tcW w:type="dxa" w:w="1704"/>
            <w:vAlign w:val="center"/>
          </w:tcPr>
          <w:p>
            <w:r/>
            <w:r>
              <w:rPr>
                <w:rFonts w:ascii="Arial" w:hAnsi="Arial"/>
                <w:b w:val="0"/>
                <w:sz w:val="14"/>
              </w:rPr>
              <w:t>C20072</w:t>
            </w:r>
          </w:p>
        </w:tc>
        <w:tc>
          <w:tcPr>
            <w:tcW w:type="dxa" w:w="1704"/>
            <w:vAlign w:val="center"/>
          </w:tcPr>
          <w:p>
            <w:r/>
            <w:r>
              <w:rPr>
                <w:rFonts w:ascii="Arial" w:hAnsi="Arial"/>
                <w:b w:val="0"/>
                <w:sz w:val="14"/>
              </w:rPr>
              <w:t>0.6882</w:t>
            </w:r>
          </w:p>
        </w:tc>
        <w:tc>
          <w:tcPr>
            <w:tcW w:type="dxa" w:w="1704"/>
            <w:vAlign w:val="center"/>
          </w:tcPr>
          <w:p>
            <w:r/>
            <w:r>
              <w:rPr>
                <w:rFonts w:ascii="Arial" w:hAnsi="Arial"/>
                <w:b w:val="0"/>
                <w:sz w:val="14"/>
              </w:rPr>
              <w:t>440.06</w:t>
            </w:r>
          </w:p>
        </w:tc>
        <w:tc>
          <w:tcPr>
            <w:tcW w:type="dxa" w:w="1704"/>
            <w:vAlign w:val="center"/>
          </w:tcPr>
          <w:p>
            <w:r/>
            <w:r>
              <w:rPr>
                <w:rFonts w:ascii="Arial" w:hAnsi="Arial"/>
                <w:b w:val="0"/>
                <w:sz w:val="14"/>
              </w:rPr>
              <w:t>1320.18</w:t>
            </w:r>
          </w:p>
        </w:tc>
        <w:tc>
          <w:tcPr>
            <w:tcW w:type="dxa" w:w="1704"/>
            <w:vAlign w:val="center"/>
          </w:tcPr>
          <w:p>
            <w:r/>
            <w:r>
              <w:rPr>
                <w:rFonts w:ascii="Arial" w:hAnsi="Arial"/>
                <w:b w:val="0"/>
                <w:sz w:val="14"/>
              </w:rPr>
              <w:t>318.01</w:t>
            </w:r>
          </w:p>
        </w:tc>
        <w:tc>
          <w:tcPr>
            <w:tcW w:type="dxa" w:w="1704"/>
            <w:vAlign w:val="center"/>
          </w:tcPr>
          <w:p>
            <w:r/>
            <w:r>
              <w:rPr>
                <w:rFonts w:ascii="Arial" w:hAnsi="Arial"/>
                <w:b w:val="0"/>
                <w:sz w:val="14"/>
              </w:rPr>
              <w:t>298.01</w:t>
            </w:r>
          </w:p>
        </w:tc>
      </w:tr>
      <w:tr>
        <w:tc>
          <w:tcPr>
            <w:tcW w:type="dxa" w:w="1704"/>
            <w:vAlign w:val="center"/>
          </w:tcPr>
          <w:p>
            <w:r/>
            <w:r>
              <w:rPr>
                <w:rFonts w:ascii="Arial" w:hAnsi="Arial"/>
                <w:b w:val="0"/>
                <w:sz w:val="14"/>
              </w:rPr>
              <w:t>C20008</w:t>
            </w:r>
          </w:p>
        </w:tc>
        <w:tc>
          <w:tcPr>
            <w:tcW w:type="dxa" w:w="1704"/>
            <w:vAlign w:val="center"/>
          </w:tcPr>
          <w:p>
            <w:r/>
            <w:r>
              <w:rPr>
                <w:rFonts w:ascii="Arial" w:hAnsi="Arial"/>
                <w:b w:val="0"/>
                <w:sz w:val="14"/>
              </w:rPr>
              <w:t>0.7946</w:t>
            </w:r>
          </w:p>
        </w:tc>
        <w:tc>
          <w:tcPr>
            <w:tcW w:type="dxa" w:w="1704"/>
            <w:vAlign w:val="center"/>
          </w:tcPr>
          <w:p>
            <w:r/>
            <w:r>
              <w:rPr>
                <w:rFonts w:ascii="Arial" w:hAnsi="Arial"/>
                <w:b w:val="0"/>
                <w:sz w:val="14"/>
              </w:rPr>
              <w:t>349.86</w:t>
            </w:r>
          </w:p>
        </w:tc>
        <w:tc>
          <w:tcPr>
            <w:tcW w:type="dxa" w:w="1704"/>
            <w:vAlign w:val="center"/>
          </w:tcPr>
          <w:p>
            <w:r/>
            <w:r>
              <w:rPr>
                <w:rFonts w:ascii="Arial" w:hAnsi="Arial"/>
                <w:b w:val="0"/>
                <w:sz w:val="14"/>
              </w:rPr>
              <w:t>1049.58</w:t>
            </w:r>
          </w:p>
        </w:tc>
        <w:tc>
          <w:tcPr>
            <w:tcW w:type="dxa" w:w="1704"/>
            <w:vAlign w:val="center"/>
          </w:tcPr>
          <w:p>
            <w:r/>
            <w:r>
              <w:rPr>
                <w:rFonts w:ascii="Arial" w:hAnsi="Arial"/>
                <w:b w:val="0"/>
                <w:sz w:val="14"/>
              </w:rPr>
              <w:t>291.89</w:t>
            </w:r>
          </w:p>
        </w:tc>
        <w:tc>
          <w:tcPr>
            <w:tcW w:type="dxa" w:w="1704"/>
            <w:vAlign w:val="center"/>
          </w:tcPr>
          <w:p>
            <w:r/>
            <w:r>
              <w:rPr>
                <w:rFonts w:ascii="Arial" w:hAnsi="Arial"/>
                <w:b w:val="0"/>
                <w:sz w:val="14"/>
              </w:rPr>
              <w:t>271.89</w:t>
            </w:r>
          </w:p>
        </w:tc>
      </w:tr>
      <w:tr>
        <w:tc>
          <w:tcPr>
            <w:tcW w:type="dxa" w:w="1704"/>
            <w:vAlign w:val="center"/>
          </w:tcPr>
          <w:p>
            <w:r/>
            <w:r>
              <w:rPr>
                <w:rFonts w:ascii="Arial" w:hAnsi="Arial"/>
                <w:b w:val="0"/>
                <w:sz w:val="14"/>
              </w:rPr>
              <w:t>C20149</w:t>
            </w:r>
          </w:p>
        </w:tc>
        <w:tc>
          <w:tcPr>
            <w:tcW w:type="dxa" w:w="1704"/>
            <w:vAlign w:val="center"/>
          </w:tcPr>
          <w:p>
            <w:r/>
            <w:r>
              <w:rPr>
                <w:rFonts w:ascii="Arial" w:hAnsi="Arial"/>
                <w:b w:val="0"/>
                <w:sz w:val="14"/>
              </w:rPr>
              <w:t>0.7778</w:t>
            </w:r>
          </w:p>
        </w:tc>
        <w:tc>
          <w:tcPr>
            <w:tcW w:type="dxa" w:w="1704"/>
            <w:vAlign w:val="center"/>
          </w:tcPr>
          <w:p>
            <w:r/>
            <w:r>
              <w:rPr>
                <w:rFonts w:ascii="Arial" w:hAnsi="Arial"/>
                <w:b w:val="0"/>
                <w:sz w:val="14"/>
              </w:rPr>
              <w:t>355.54</w:t>
            </w:r>
          </w:p>
        </w:tc>
        <w:tc>
          <w:tcPr>
            <w:tcW w:type="dxa" w:w="1704"/>
            <w:vAlign w:val="center"/>
          </w:tcPr>
          <w:p>
            <w:r/>
            <w:r>
              <w:rPr>
                <w:rFonts w:ascii="Arial" w:hAnsi="Arial"/>
                <w:b w:val="0"/>
                <w:sz w:val="14"/>
              </w:rPr>
              <w:t>1066.62</w:t>
            </w:r>
          </w:p>
        </w:tc>
        <w:tc>
          <w:tcPr>
            <w:tcW w:type="dxa" w:w="1704"/>
            <w:vAlign w:val="center"/>
          </w:tcPr>
          <w:p>
            <w:r/>
            <w:r>
              <w:rPr>
                <w:rFonts w:ascii="Arial" w:hAnsi="Arial"/>
                <w:b w:val="0"/>
                <w:sz w:val="14"/>
              </w:rPr>
              <w:t>290.36</w:t>
            </w:r>
          </w:p>
        </w:tc>
        <w:tc>
          <w:tcPr>
            <w:tcW w:type="dxa" w:w="1704"/>
            <w:vAlign w:val="center"/>
          </w:tcPr>
          <w:p>
            <w:r/>
            <w:r>
              <w:rPr>
                <w:rFonts w:ascii="Arial" w:hAnsi="Arial"/>
                <w:b w:val="0"/>
                <w:sz w:val="14"/>
              </w:rPr>
              <w:t>270.36</w:t>
            </w:r>
          </w:p>
        </w:tc>
      </w:tr>
      <w:tr>
        <w:tc>
          <w:tcPr>
            <w:tcW w:type="dxa" w:w="1704"/>
            <w:vAlign w:val="center"/>
          </w:tcPr>
          <w:p>
            <w:r/>
            <w:r>
              <w:rPr>
                <w:rFonts w:ascii="Arial" w:hAnsi="Arial"/>
                <w:b w:val="0"/>
                <w:sz w:val="14"/>
              </w:rPr>
              <w:t>C20011</w:t>
            </w:r>
          </w:p>
        </w:tc>
        <w:tc>
          <w:tcPr>
            <w:tcW w:type="dxa" w:w="1704"/>
            <w:vAlign w:val="center"/>
          </w:tcPr>
          <w:p>
            <w:r/>
            <w:r>
              <w:rPr>
                <w:rFonts w:ascii="Arial" w:hAnsi="Arial"/>
                <w:b w:val="0"/>
                <w:sz w:val="14"/>
              </w:rPr>
              <w:t>0.8038</w:t>
            </w:r>
          </w:p>
        </w:tc>
        <w:tc>
          <w:tcPr>
            <w:tcW w:type="dxa" w:w="1704"/>
            <w:vAlign w:val="center"/>
          </w:tcPr>
          <w:p>
            <w:r/>
            <w:r>
              <w:rPr>
                <w:rFonts w:ascii="Arial" w:hAnsi="Arial"/>
                <w:b w:val="0"/>
                <w:sz w:val="14"/>
              </w:rPr>
              <w:t>327.16</w:t>
            </w:r>
          </w:p>
        </w:tc>
        <w:tc>
          <w:tcPr>
            <w:tcW w:type="dxa" w:w="1704"/>
            <w:vAlign w:val="center"/>
          </w:tcPr>
          <w:p>
            <w:r/>
            <w:r>
              <w:rPr>
                <w:rFonts w:ascii="Arial" w:hAnsi="Arial"/>
                <w:b w:val="0"/>
                <w:sz w:val="14"/>
              </w:rPr>
              <w:t>981.48</w:t>
            </w:r>
          </w:p>
        </w:tc>
        <w:tc>
          <w:tcPr>
            <w:tcW w:type="dxa" w:w="1704"/>
            <w:vAlign w:val="center"/>
          </w:tcPr>
          <w:p>
            <w:r/>
            <w:r>
              <w:rPr>
                <w:rFonts w:ascii="Arial" w:hAnsi="Arial"/>
                <w:b w:val="0"/>
                <w:sz w:val="14"/>
              </w:rPr>
              <w:t>276.13</w:t>
            </w:r>
          </w:p>
        </w:tc>
        <w:tc>
          <w:tcPr>
            <w:tcW w:type="dxa" w:w="1704"/>
            <w:vAlign w:val="center"/>
          </w:tcPr>
          <w:p>
            <w:r/>
            <w:r>
              <w:rPr>
                <w:rFonts w:ascii="Arial" w:hAnsi="Arial"/>
                <w:b w:val="0"/>
                <w:sz w:val="14"/>
              </w:rPr>
              <w:t>256.13</w:t>
            </w:r>
          </w:p>
        </w:tc>
      </w:tr>
      <w:tr>
        <w:tc>
          <w:tcPr>
            <w:tcW w:type="dxa" w:w="1704"/>
            <w:vAlign w:val="center"/>
          </w:tcPr>
          <w:p>
            <w:r/>
            <w:r>
              <w:rPr>
                <w:rFonts w:ascii="Arial" w:hAnsi="Arial"/>
                <w:b w:val="0"/>
                <w:sz w:val="14"/>
              </w:rPr>
              <w:t>C20267</w:t>
            </w:r>
          </w:p>
        </w:tc>
        <w:tc>
          <w:tcPr>
            <w:tcW w:type="dxa" w:w="1704"/>
            <w:vAlign w:val="center"/>
          </w:tcPr>
          <w:p>
            <w:r/>
            <w:r>
              <w:rPr>
                <w:rFonts w:ascii="Arial" w:hAnsi="Arial"/>
                <w:b w:val="0"/>
                <w:sz w:val="14"/>
              </w:rPr>
              <w:t>0.9946</w:t>
            </w:r>
          </w:p>
        </w:tc>
        <w:tc>
          <w:tcPr>
            <w:tcW w:type="dxa" w:w="1704"/>
            <w:vAlign w:val="center"/>
          </w:tcPr>
          <w:p>
            <w:r/>
            <w:r>
              <w:rPr>
                <w:rFonts w:ascii="Arial" w:hAnsi="Arial"/>
                <w:b w:val="0"/>
                <w:sz w:val="14"/>
              </w:rPr>
              <w:t>249.22</w:t>
            </w:r>
          </w:p>
        </w:tc>
        <w:tc>
          <w:tcPr>
            <w:tcW w:type="dxa" w:w="1704"/>
            <w:vAlign w:val="center"/>
          </w:tcPr>
          <w:p>
            <w:r/>
            <w:r>
              <w:rPr>
                <w:rFonts w:ascii="Arial" w:hAnsi="Arial"/>
                <w:b w:val="0"/>
                <w:sz w:val="14"/>
              </w:rPr>
              <w:t>747.66</w:t>
            </w:r>
          </w:p>
        </w:tc>
        <w:tc>
          <w:tcPr>
            <w:tcW w:type="dxa" w:w="1704"/>
            <w:vAlign w:val="center"/>
          </w:tcPr>
          <w:p>
            <w:r/>
            <w:r>
              <w:rPr>
                <w:rFonts w:ascii="Arial" w:hAnsi="Arial"/>
                <w:b w:val="0"/>
                <w:sz w:val="14"/>
              </w:rPr>
              <w:t>260.26</w:t>
            </w:r>
          </w:p>
        </w:tc>
        <w:tc>
          <w:tcPr>
            <w:tcW w:type="dxa" w:w="1704"/>
            <w:vAlign w:val="center"/>
          </w:tcPr>
          <w:p>
            <w:r/>
            <w:r>
              <w:rPr>
                <w:rFonts w:ascii="Arial" w:hAnsi="Arial"/>
                <w:b w:val="0"/>
                <w:sz w:val="14"/>
              </w:rPr>
              <w:t>240.26</w:t>
            </w:r>
          </w:p>
        </w:tc>
      </w:tr>
      <w:tr>
        <w:tc>
          <w:tcPr>
            <w:tcW w:type="dxa" w:w="1704"/>
            <w:vAlign w:val="center"/>
          </w:tcPr>
          <w:p>
            <w:r/>
            <w:r>
              <w:rPr>
                <w:rFonts w:ascii="Arial" w:hAnsi="Arial"/>
                <w:b w:val="0"/>
                <w:sz w:val="14"/>
              </w:rPr>
              <w:t>C20154</w:t>
            </w:r>
          </w:p>
        </w:tc>
        <w:tc>
          <w:tcPr>
            <w:tcW w:type="dxa" w:w="1704"/>
            <w:vAlign w:val="center"/>
          </w:tcPr>
          <w:p>
            <w:r/>
            <w:r>
              <w:rPr>
                <w:rFonts w:ascii="Arial" w:hAnsi="Arial"/>
                <w:b w:val="0"/>
                <w:sz w:val="14"/>
              </w:rPr>
              <w:t>0.5820</w:t>
            </w:r>
          </w:p>
        </w:tc>
        <w:tc>
          <w:tcPr>
            <w:tcW w:type="dxa" w:w="1704"/>
            <w:vAlign w:val="center"/>
          </w:tcPr>
          <w:p>
            <w:r/>
            <w:r>
              <w:rPr>
                <w:rFonts w:ascii="Arial" w:hAnsi="Arial"/>
                <w:b w:val="0"/>
                <w:sz w:val="14"/>
              </w:rPr>
              <w:t>403.03</w:t>
            </w:r>
          </w:p>
        </w:tc>
        <w:tc>
          <w:tcPr>
            <w:tcW w:type="dxa" w:w="1704"/>
            <w:vAlign w:val="center"/>
          </w:tcPr>
          <w:p>
            <w:r/>
            <w:r>
              <w:rPr>
                <w:rFonts w:ascii="Arial" w:hAnsi="Arial"/>
                <w:b w:val="0"/>
                <w:sz w:val="14"/>
              </w:rPr>
              <w:t>1209.09</w:t>
            </w:r>
          </w:p>
        </w:tc>
        <w:tc>
          <w:tcPr>
            <w:tcW w:type="dxa" w:w="1704"/>
            <w:vAlign w:val="center"/>
          </w:tcPr>
          <w:p>
            <w:r/>
            <w:r>
              <w:rPr>
                <w:rFonts w:ascii="Arial" w:hAnsi="Arial"/>
                <w:b w:val="0"/>
                <w:sz w:val="14"/>
              </w:rPr>
              <w:t>246.29</w:t>
            </w:r>
          </w:p>
        </w:tc>
        <w:tc>
          <w:tcPr>
            <w:tcW w:type="dxa" w:w="1704"/>
            <w:vAlign w:val="center"/>
          </w:tcPr>
          <w:p>
            <w:r/>
            <w:r>
              <w:rPr>
                <w:rFonts w:ascii="Arial" w:hAnsi="Arial"/>
                <w:b w:val="0"/>
                <w:sz w:val="14"/>
              </w:rPr>
              <w:t>226.29</w:t>
            </w:r>
          </w:p>
        </w:tc>
      </w:tr>
      <w:tr>
        <w:tc>
          <w:tcPr>
            <w:tcW w:type="dxa" w:w="1704"/>
            <w:vAlign w:val="center"/>
          </w:tcPr>
          <w:p>
            <w:r/>
            <w:r>
              <w:rPr>
                <w:rFonts w:ascii="Arial" w:hAnsi="Arial"/>
                <w:b w:val="0"/>
                <w:sz w:val="14"/>
              </w:rPr>
              <w:t>C20215</w:t>
            </w:r>
          </w:p>
        </w:tc>
        <w:tc>
          <w:tcPr>
            <w:tcW w:type="dxa" w:w="1704"/>
            <w:vAlign w:val="center"/>
          </w:tcPr>
          <w:p>
            <w:r/>
            <w:r>
              <w:rPr>
                <w:rFonts w:ascii="Arial" w:hAnsi="Arial"/>
                <w:b w:val="0"/>
                <w:sz w:val="14"/>
              </w:rPr>
              <w:t>0.7566</w:t>
            </w:r>
          </w:p>
        </w:tc>
        <w:tc>
          <w:tcPr>
            <w:tcW w:type="dxa" w:w="1704"/>
            <w:vAlign w:val="center"/>
          </w:tcPr>
          <w:p>
            <w:r/>
            <w:r>
              <w:rPr>
                <w:rFonts w:ascii="Arial" w:hAnsi="Arial"/>
                <w:b w:val="0"/>
                <w:sz w:val="14"/>
              </w:rPr>
              <w:t>307.05</w:t>
            </w:r>
          </w:p>
        </w:tc>
        <w:tc>
          <w:tcPr>
            <w:tcW w:type="dxa" w:w="1704"/>
            <w:vAlign w:val="center"/>
          </w:tcPr>
          <w:p>
            <w:r/>
            <w:r>
              <w:rPr>
                <w:rFonts w:ascii="Arial" w:hAnsi="Arial"/>
                <w:b w:val="0"/>
                <w:sz w:val="14"/>
              </w:rPr>
              <w:t>921.15</w:t>
            </w:r>
          </w:p>
        </w:tc>
        <w:tc>
          <w:tcPr>
            <w:tcW w:type="dxa" w:w="1704"/>
            <w:vAlign w:val="center"/>
          </w:tcPr>
          <w:p>
            <w:r/>
            <w:r>
              <w:rPr>
                <w:rFonts w:ascii="Arial" w:hAnsi="Arial"/>
                <w:b w:val="0"/>
                <w:sz w:val="14"/>
              </w:rPr>
              <w:t>243.93</w:t>
            </w:r>
          </w:p>
        </w:tc>
        <w:tc>
          <w:tcPr>
            <w:tcW w:type="dxa" w:w="1704"/>
            <w:vAlign w:val="center"/>
          </w:tcPr>
          <w:p>
            <w:r/>
            <w:r>
              <w:rPr>
                <w:rFonts w:ascii="Arial" w:hAnsi="Arial"/>
                <w:b w:val="0"/>
                <w:sz w:val="14"/>
              </w:rPr>
              <w:t>223.93</w:t>
            </w:r>
          </w:p>
        </w:tc>
      </w:tr>
      <w:tr>
        <w:tc>
          <w:tcPr>
            <w:tcW w:type="dxa" w:w="1704"/>
            <w:vAlign w:val="center"/>
          </w:tcPr>
          <w:p>
            <w:r/>
            <w:r>
              <w:rPr>
                <w:rFonts w:ascii="Arial" w:hAnsi="Arial"/>
                <w:b w:val="0"/>
                <w:sz w:val="14"/>
              </w:rPr>
              <w:t>C20007</w:t>
            </w:r>
          </w:p>
        </w:tc>
        <w:tc>
          <w:tcPr>
            <w:tcW w:type="dxa" w:w="1704"/>
            <w:vAlign w:val="center"/>
          </w:tcPr>
          <w:p>
            <w:r/>
            <w:r>
              <w:rPr>
                <w:rFonts w:ascii="Arial" w:hAnsi="Arial"/>
                <w:b w:val="0"/>
                <w:sz w:val="14"/>
              </w:rPr>
              <w:t>0.9881</w:t>
            </w:r>
          </w:p>
        </w:tc>
        <w:tc>
          <w:tcPr>
            <w:tcW w:type="dxa" w:w="1704"/>
            <w:vAlign w:val="center"/>
          </w:tcPr>
          <w:p>
            <w:r/>
            <w:r>
              <w:rPr>
                <w:rFonts w:ascii="Arial" w:hAnsi="Arial"/>
                <w:b w:val="0"/>
                <w:sz w:val="14"/>
              </w:rPr>
              <w:t>227.77</w:t>
            </w:r>
          </w:p>
        </w:tc>
        <w:tc>
          <w:tcPr>
            <w:tcW w:type="dxa" w:w="1704"/>
            <w:vAlign w:val="center"/>
          </w:tcPr>
          <w:p>
            <w:r/>
            <w:r>
              <w:rPr>
                <w:rFonts w:ascii="Arial" w:hAnsi="Arial"/>
                <w:b w:val="0"/>
                <w:sz w:val="14"/>
              </w:rPr>
              <w:t>683.31</w:t>
            </w:r>
          </w:p>
        </w:tc>
        <w:tc>
          <w:tcPr>
            <w:tcW w:type="dxa" w:w="1704"/>
            <w:vAlign w:val="center"/>
          </w:tcPr>
          <w:p>
            <w:r/>
            <w:r>
              <w:rPr>
                <w:rFonts w:ascii="Arial" w:hAnsi="Arial"/>
                <w:b w:val="0"/>
                <w:sz w:val="14"/>
              </w:rPr>
              <w:t>236.30</w:t>
            </w:r>
          </w:p>
        </w:tc>
        <w:tc>
          <w:tcPr>
            <w:tcW w:type="dxa" w:w="1704"/>
            <w:vAlign w:val="center"/>
          </w:tcPr>
          <w:p>
            <w:r/>
            <w:r>
              <w:rPr>
                <w:rFonts w:ascii="Arial" w:hAnsi="Arial"/>
                <w:b w:val="0"/>
                <w:sz w:val="14"/>
              </w:rPr>
              <w:t>216.30</w:t>
            </w:r>
          </w:p>
        </w:tc>
      </w:tr>
      <w:tr>
        <w:tc>
          <w:tcPr>
            <w:tcW w:type="dxa" w:w="1704"/>
            <w:vAlign w:val="center"/>
          </w:tcPr>
          <w:p>
            <w:r/>
            <w:r>
              <w:rPr>
                <w:rFonts w:ascii="Arial" w:hAnsi="Arial"/>
                <w:b w:val="0"/>
                <w:sz w:val="14"/>
              </w:rPr>
              <w:t>C20193</w:t>
            </w:r>
          </w:p>
        </w:tc>
        <w:tc>
          <w:tcPr>
            <w:tcW w:type="dxa" w:w="1704"/>
            <w:vAlign w:val="center"/>
          </w:tcPr>
          <w:p>
            <w:r/>
            <w:r>
              <w:rPr>
                <w:rFonts w:ascii="Arial" w:hAnsi="Arial"/>
                <w:b w:val="0"/>
                <w:sz w:val="14"/>
              </w:rPr>
              <w:t>0.8000</w:t>
            </w:r>
          </w:p>
        </w:tc>
        <w:tc>
          <w:tcPr>
            <w:tcW w:type="dxa" w:w="1704"/>
            <w:vAlign w:val="center"/>
          </w:tcPr>
          <w:p>
            <w:r/>
            <w:r>
              <w:rPr>
                <w:rFonts w:ascii="Arial" w:hAnsi="Arial"/>
                <w:b w:val="0"/>
                <w:sz w:val="14"/>
              </w:rPr>
              <w:t>274.04</w:t>
            </w:r>
          </w:p>
        </w:tc>
        <w:tc>
          <w:tcPr>
            <w:tcW w:type="dxa" w:w="1704"/>
            <w:vAlign w:val="center"/>
          </w:tcPr>
          <w:p>
            <w:r/>
            <w:r>
              <w:rPr>
                <w:rFonts w:ascii="Arial" w:hAnsi="Arial"/>
                <w:b w:val="0"/>
                <w:sz w:val="14"/>
              </w:rPr>
              <w:t>822.12</w:t>
            </w:r>
          </w:p>
        </w:tc>
        <w:tc>
          <w:tcPr>
            <w:tcW w:type="dxa" w:w="1704"/>
            <w:vAlign w:val="center"/>
          </w:tcPr>
          <w:p>
            <w:r/>
            <w:r>
              <w:rPr>
                <w:rFonts w:ascii="Arial" w:hAnsi="Arial"/>
                <w:b w:val="0"/>
                <w:sz w:val="14"/>
              </w:rPr>
              <w:t>230.20</w:t>
            </w:r>
          </w:p>
        </w:tc>
        <w:tc>
          <w:tcPr>
            <w:tcW w:type="dxa" w:w="1704"/>
            <w:vAlign w:val="center"/>
          </w:tcPr>
          <w:p>
            <w:r/>
            <w:r>
              <w:rPr>
                <w:rFonts w:ascii="Arial" w:hAnsi="Arial"/>
                <w:b w:val="0"/>
                <w:sz w:val="14"/>
              </w:rPr>
              <w:t>210.20</w:t>
            </w:r>
          </w:p>
        </w:tc>
      </w:tr>
    </w:tbl>
    <w:p>
      <w:pPr>
        <w:jc w:val="center"/>
      </w:pPr>
      <w:r>
        <w:drawing>
          <wp:inline xmlns:a="http://schemas.openxmlformats.org/drawingml/2006/main" xmlns:pic="http://schemas.openxmlformats.org/drawingml/2006/picture">
            <wp:extent cx="5669280" cy="3779520"/>
            <wp:docPr id="9" name="Picture 9"/>
            <wp:cNvGraphicFramePr>
              <a:graphicFrameLocks noChangeAspect="1"/>
            </wp:cNvGraphicFramePr>
            <a:graphic>
              <a:graphicData uri="http://schemas.openxmlformats.org/drawingml/2006/picture">
                <pic:pic>
                  <pic:nvPicPr>
                    <pic:cNvPr id="0" name="top10_retention_candidates.png"/>
                    <pic:cNvPicPr/>
                  </pic:nvPicPr>
                  <pic:blipFill>
                    <a:blip r:embed="rId18"/>
                    <a:stretch>
                      <a:fillRect/>
                    </a:stretch>
                  </pic:blipFill>
                  <pic:spPr>
                    <a:xfrm>
                      <a:off x="0" y="0"/>
                      <a:ext cx="5669280" cy="3779520"/>
                    </a:xfrm>
                    <a:prstGeom prst="rect"/>
                  </pic:spPr>
                </pic:pic>
              </a:graphicData>
            </a:graphic>
          </wp:inline>
        </w:drawing>
      </w:r>
    </w:p>
    <w:p>
      <w:pPr>
        <w:pStyle w:val="FigureCaption"/>
        <w:jc w:val="center"/>
      </w:pPr>
      <w:r>
        <w:t>Figure 9. Highest-value retention candidates after combining predicted risk with expected financial value.</w:t>
      </w:r>
    </w:p>
    <w:p>
      <w:r>
        <w:br w:type="page"/>
      </w:r>
    </w:p>
    <w:p>
      <w:pPr>
        <w:pStyle w:val="Heading1"/>
      </w:pPr>
      <w:r>
        <w:t>9. What-if Analysis: Top 25 vs Top 50</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3F0"/>
          </w:tcPr>
          <w:p>
            <w:r/>
            <w:r>
              <w:rPr>
                <w:rFonts w:ascii="Arial" w:hAnsi="Arial"/>
                <w:b/>
                <w:sz w:val="16"/>
              </w:rPr>
              <w:t>Scenario</w:t>
            </w:r>
          </w:p>
        </w:tc>
        <w:tc>
          <w:tcPr>
            <w:tcW w:type="dxa" w:w="1704"/>
            <w:vAlign w:val="center"/>
            <w:shd w:fill="D9E3F0"/>
          </w:tcPr>
          <w:p>
            <w:r/>
            <w:r>
              <w:rPr>
                <w:rFonts w:ascii="Arial" w:hAnsi="Arial"/>
                <w:b/>
                <w:sz w:val="16"/>
              </w:rPr>
              <w:t>Contacted</w:t>
            </w:r>
          </w:p>
        </w:tc>
        <w:tc>
          <w:tcPr>
            <w:tcW w:type="dxa" w:w="1704"/>
            <w:vAlign w:val="center"/>
            <w:shd w:fill="D9E3F0"/>
          </w:tcPr>
          <w:p>
            <w:r/>
            <w:r>
              <w:rPr>
                <w:rFonts w:ascii="Arial" w:hAnsi="Arial"/>
                <w:b/>
                <w:sz w:val="16"/>
              </w:rPr>
              <w:t>Cost (JD)</w:t>
            </w:r>
          </w:p>
        </w:tc>
        <w:tc>
          <w:tcPr>
            <w:tcW w:type="dxa" w:w="1704"/>
            <w:vAlign w:val="center"/>
            <w:shd w:fill="D9E3F0"/>
          </w:tcPr>
          <w:p>
            <w:r/>
            <w:r>
              <w:rPr>
                <w:rFonts w:ascii="Arial" w:hAnsi="Arial"/>
                <w:b/>
                <w:sz w:val="16"/>
              </w:rPr>
              <w:t>Expected retained</w:t>
            </w:r>
          </w:p>
        </w:tc>
        <w:tc>
          <w:tcPr>
            <w:tcW w:type="dxa" w:w="1704"/>
            <w:vAlign w:val="center"/>
            <w:shd w:fill="D9E3F0"/>
          </w:tcPr>
          <w:p>
            <w:r/>
            <w:r>
              <w:rPr>
                <w:rFonts w:ascii="Arial" w:hAnsi="Arial"/>
                <w:b/>
                <w:sz w:val="16"/>
              </w:rPr>
              <w:t>Saved profit (JD)</w:t>
            </w:r>
          </w:p>
        </w:tc>
        <w:tc>
          <w:tcPr>
            <w:tcW w:type="dxa" w:w="1704"/>
            <w:vAlign w:val="center"/>
            <w:shd w:fill="D9E3F0"/>
          </w:tcPr>
          <w:p>
            <w:r/>
            <w:r>
              <w:rPr>
                <w:rFonts w:ascii="Arial" w:hAnsi="Arial"/>
                <w:b/>
                <w:sz w:val="16"/>
              </w:rPr>
              <w:t>Net benefit (JD)</w:t>
            </w:r>
          </w:p>
        </w:tc>
      </w:tr>
      <w:tr>
        <w:tc>
          <w:tcPr>
            <w:tcW w:type="dxa" w:w="1704"/>
            <w:vAlign w:val="center"/>
          </w:tcPr>
          <w:p>
            <w:r/>
            <w:r>
              <w:rPr>
                <w:rFonts w:ascii="Arial" w:hAnsi="Arial"/>
                <w:b w:val="0"/>
                <w:sz w:val="16"/>
              </w:rPr>
              <w:t>Top 25</w:t>
            </w:r>
          </w:p>
        </w:tc>
        <w:tc>
          <w:tcPr>
            <w:tcW w:type="dxa" w:w="1704"/>
            <w:vAlign w:val="center"/>
          </w:tcPr>
          <w:p>
            <w:r/>
            <w:r>
              <w:rPr>
                <w:rFonts w:ascii="Arial" w:hAnsi="Arial"/>
                <w:b w:val="0"/>
                <w:sz w:val="16"/>
              </w:rPr>
              <w:t>25</w:t>
            </w:r>
          </w:p>
        </w:tc>
        <w:tc>
          <w:tcPr>
            <w:tcW w:type="dxa" w:w="1704"/>
            <w:vAlign w:val="center"/>
          </w:tcPr>
          <w:p>
            <w:r/>
            <w:r>
              <w:rPr>
                <w:rFonts w:ascii="Arial" w:hAnsi="Arial"/>
                <w:b w:val="0"/>
                <w:sz w:val="16"/>
              </w:rPr>
              <w:t>500.00</w:t>
            </w:r>
          </w:p>
        </w:tc>
        <w:tc>
          <w:tcPr>
            <w:tcW w:type="dxa" w:w="1704"/>
            <w:vAlign w:val="center"/>
          </w:tcPr>
          <w:p>
            <w:r/>
            <w:r>
              <w:rPr>
                <w:rFonts w:ascii="Arial" w:hAnsi="Arial"/>
                <w:b w:val="0"/>
                <w:sz w:val="16"/>
              </w:rPr>
              <w:t>6.70</w:t>
            </w:r>
          </w:p>
        </w:tc>
        <w:tc>
          <w:tcPr>
            <w:tcW w:type="dxa" w:w="1704"/>
            <w:vAlign w:val="center"/>
          </w:tcPr>
          <w:p>
            <w:r/>
            <w:r>
              <w:rPr>
                <w:rFonts w:ascii="Arial" w:hAnsi="Arial"/>
                <w:b w:val="0"/>
                <w:sz w:val="16"/>
              </w:rPr>
              <w:t>5,346.51</w:t>
            </w:r>
          </w:p>
        </w:tc>
        <w:tc>
          <w:tcPr>
            <w:tcW w:type="dxa" w:w="1704"/>
            <w:vAlign w:val="center"/>
          </w:tcPr>
          <w:p>
            <w:r/>
            <w:r>
              <w:rPr>
                <w:rFonts w:ascii="Arial" w:hAnsi="Arial"/>
                <w:b w:val="0"/>
                <w:sz w:val="16"/>
              </w:rPr>
              <w:t>4,846.51</w:t>
            </w:r>
          </w:p>
        </w:tc>
      </w:tr>
      <w:tr>
        <w:tc>
          <w:tcPr>
            <w:tcW w:type="dxa" w:w="1704"/>
            <w:vAlign w:val="center"/>
          </w:tcPr>
          <w:p>
            <w:r/>
            <w:r>
              <w:rPr>
                <w:rFonts w:ascii="Arial" w:hAnsi="Arial"/>
                <w:b w:val="0"/>
                <w:sz w:val="16"/>
              </w:rPr>
              <w:t>Top 50</w:t>
            </w:r>
          </w:p>
        </w:tc>
        <w:tc>
          <w:tcPr>
            <w:tcW w:type="dxa" w:w="1704"/>
            <w:vAlign w:val="center"/>
          </w:tcPr>
          <w:p>
            <w:r/>
            <w:r>
              <w:rPr>
                <w:rFonts w:ascii="Arial" w:hAnsi="Arial"/>
                <w:b w:val="0"/>
                <w:sz w:val="16"/>
              </w:rPr>
              <w:t>50</w:t>
            </w:r>
          </w:p>
        </w:tc>
        <w:tc>
          <w:tcPr>
            <w:tcW w:type="dxa" w:w="1704"/>
            <w:vAlign w:val="center"/>
          </w:tcPr>
          <w:p>
            <w:r/>
            <w:r>
              <w:rPr>
                <w:rFonts w:ascii="Arial" w:hAnsi="Arial"/>
                <w:b w:val="0"/>
                <w:sz w:val="16"/>
              </w:rPr>
              <w:t>1,000.00</w:t>
            </w:r>
          </w:p>
        </w:tc>
        <w:tc>
          <w:tcPr>
            <w:tcW w:type="dxa" w:w="1704"/>
            <w:vAlign w:val="center"/>
          </w:tcPr>
          <w:p>
            <w:r/>
            <w:r>
              <w:rPr>
                <w:rFonts w:ascii="Arial" w:hAnsi="Arial"/>
                <w:b w:val="0"/>
                <w:sz w:val="16"/>
              </w:rPr>
              <w:t>13.35</w:t>
            </w:r>
          </w:p>
        </w:tc>
        <w:tc>
          <w:tcPr>
            <w:tcW w:type="dxa" w:w="1704"/>
            <w:vAlign w:val="center"/>
          </w:tcPr>
          <w:p>
            <w:r/>
            <w:r>
              <w:rPr>
                <w:rFonts w:ascii="Arial" w:hAnsi="Arial"/>
                <w:b w:val="0"/>
                <w:sz w:val="16"/>
              </w:rPr>
              <w:t>8,609.35</w:t>
            </w:r>
          </w:p>
        </w:tc>
        <w:tc>
          <w:tcPr>
            <w:tcW w:type="dxa" w:w="1704"/>
            <w:vAlign w:val="center"/>
          </w:tcPr>
          <w:p>
            <w:r/>
            <w:r>
              <w:rPr>
                <w:rFonts w:ascii="Arial" w:hAnsi="Arial"/>
                <w:b w:val="0"/>
                <w:sz w:val="16"/>
              </w:rPr>
              <w:t>7,609.35</w:t>
            </w:r>
          </w:p>
        </w:tc>
      </w:tr>
    </w:tbl>
    <w:p>
      <w:pPr>
        <w:pStyle w:val="Heading2"/>
      </w:pPr>
      <w:r>
        <w:t>9.1 Incremental Economics</w:t>
      </w:r>
    </w:p>
    <w:p>
      <w:pPr>
        <w:pStyle w:val="ListBullet"/>
        <w:ind w:left="0"/>
      </w:pPr>
      <w:r>
        <w:rPr>
          <w:rFonts w:ascii="Arial" w:hAnsi="Arial"/>
          <w:sz w:val="19"/>
        </w:rPr>
        <w:t>Additional campaign cost from Top 25 to Top 50: JD 500.00.</w:t>
      </w:r>
    </w:p>
    <w:p>
      <w:pPr>
        <w:pStyle w:val="ListBullet"/>
        <w:ind w:left="0"/>
      </w:pPr>
      <w:r>
        <w:rPr>
          <w:rFonts w:ascii="Arial" w:hAnsi="Arial"/>
          <w:sz w:val="19"/>
        </w:rPr>
        <w:t>Additional expected customers retained: approximately 6.66.</w:t>
      </w:r>
    </w:p>
    <w:p>
      <w:pPr>
        <w:pStyle w:val="ListBullet"/>
        <w:ind w:left="0"/>
      </w:pPr>
      <w:r>
        <w:rPr>
          <w:rFonts w:ascii="Arial" w:hAnsi="Arial"/>
          <w:sz w:val="19"/>
        </w:rPr>
        <w:t>Additional expected saved profit: JD 3,262.84.</w:t>
      </w:r>
    </w:p>
    <w:p>
      <w:pPr>
        <w:pStyle w:val="ListBullet"/>
        <w:ind w:left="0"/>
      </w:pPr>
      <w:r>
        <w:rPr>
          <w:rFonts w:ascii="Arial" w:hAnsi="Arial"/>
          <w:sz w:val="19"/>
        </w:rPr>
        <w:t>Additional expected net benefit: JD 2,762.84.</w:t>
      </w:r>
    </w:p>
    <w:p>
      <w:r>
        <w:t>Recommendation: Scenario B - Top 50. Under the assignment assumptions, the additional JD 500 budget produces a substantial positive incremental expected net benefit. Because the final probabilities are imperfectly calibrated, NovaMart should treat the estimate as a decision-support value and validate realized retention lift and profitability after launch.</w:t>
      </w:r>
    </w:p>
    <w:p>
      <w:pPr>
        <w:jc w:val="center"/>
      </w:pPr>
      <w:r>
        <w:drawing>
          <wp:inline xmlns:a="http://schemas.openxmlformats.org/drawingml/2006/main" xmlns:pic="http://schemas.openxmlformats.org/drawingml/2006/picture">
            <wp:extent cx="5577840" cy="3618058"/>
            <wp:docPr id="10" name="Picture 10"/>
            <wp:cNvGraphicFramePr>
              <a:graphicFrameLocks noChangeAspect="1"/>
            </wp:cNvGraphicFramePr>
            <a:graphic>
              <a:graphicData uri="http://schemas.openxmlformats.org/drawingml/2006/picture">
                <pic:pic>
                  <pic:nvPicPr>
                    <pic:cNvPr id="0" name="scenario_comparison.png"/>
                    <pic:cNvPicPr/>
                  </pic:nvPicPr>
                  <pic:blipFill>
                    <a:blip r:embed="rId19"/>
                    <a:stretch>
                      <a:fillRect/>
                    </a:stretch>
                  </pic:blipFill>
                  <pic:spPr>
                    <a:xfrm>
                      <a:off x="0" y="0"/>
                      <a:ext cx="5577840" cy="3618058"/>
                    </a:xfrm>
                    <a:prstGeom prst="rect"/>
                  </pic:spPr>
                </pic:pic>
              </a:graphicData>
            </a:graphic>
          </wp:inline>
        </w:drawing>
      </w:r>
    </w:p>
    <w:p>
      <w:pPr>
        <w:pStyle w:val="FigureCaption"/>
        <w:jc w:val="center"/>
      </w:pPr>
      <w:r>
        <w:t>Figure 10. Top-50 targeting requires more budget but produces a substantially higher expected net benefit.</w:t>
      </w:r>
    </w:p>
    <w:p>
      <w:r>
        <w:br w:type="page"/>
      </w:r>
    </w:p>
    <w:p>
      <w:pPr>
        <w:pStyle w:val="Heading1"/>
      </w:pPr>
      <w:r>
        <w:t>10. Conclusions and Business Recommendations</w:t>
      </w:r>
    </w:p>
    <w:p>
      <w:pPr>
        <w:pStyle w:val="ListBullet"/>
        <w:ind w:left="0"/>
      </w:pPr>
      <w:r>
        <w:rPr>
          <w:rFonts w:ascii="Arial" w:hAnsi="Arial"/>
          <w:sz w:val="19"/>
        </w:rPr>
        <w:t>Prioritize customers with long purchase recency, complaints, repeated support needs, lower satisfaction and weaker engagement for retention attention.</w:t>
      </w:r>
    </w:p>
    <w:p>
      <w:pPr>
        <w:pStyle w:val="ListBullet"/>
        <w:ind w:left="0"/>
      </w:pPr>
      <w:r>
        <w:rPr>
          <w:rFonts w:ascii="Arial" w:hAnsi="Arial"/>
          <w:sz w:val="19"/>
        </w:rPr>
        <w:t>Use the class-weighted Logistic Regression as the operational screening model because it identifies substantially more churners than the baseline at the required threshold.</w:t>
      </w:r>
    </w:p>
    <w:p>
      <w:pPr>
        <w:pStyle w:val="ListBullet"/>
        <w:ind w:left="0"/>
      </w:pPr>
      <w:r>
        <w:rPr>
          <w:rFonts w:ascii="Arial" w:hAnsi="Arial"/>
          <w:sz w:val="19"/>
        </w:rPr>
        <w:t>Target the top 50 economically eligible customers rather than targeting by churn probability alone.</w:t>
      </w:r>
    </w:p>
    <w:p>
      <w:pPr>
        <w:pStyle w:val="ListBullet"/>
        <w:ind w:left="0"/>
      </w:pPr>
      <w:r>
        <w:rPr>
          <w:rFonts w:ascii="Arial" w:hAnsi="Arial"/>
          <w:sz w:val="19"/>
        </w:rPr>
        <w:t>Track realized retention, campaign response and actual profit after launch; compare actual outcomes with the model-based expected values.</w:t>
      </w:r>
    </w:p>
    <w:p>
      <w:pPr>
        <w:pStyle w:val="ListBullet"/>
        <w:ind w:left="0"/>
      </w:pPr>
      <w:r>
        <w:rPr>
          <w:rFonts w:ascii="Arial" w:hAnsi="Arial"/>
          <w:sz w:val="19"/>
        </w:rPr>
        <w:t>Recalibrate or retrain the model when more labelled outcomes become available, especially if probability-based financial planning becomes operational.</w:t>
      </w:r>
    </w:p>
    <w:p>
      <w:pPr>
        <w:pStyle w:val="Heading1"/>
      </w:pPr>
      <w:r>
        <w:t>11. Limitations</w:t>
      </w:r>
    </w:p>
    <w:p>
      <w:pPr>
        <w:pStyle w:val="ListBullet"/>
        <w:ind w:left="0"/>
      </w:pPr>
      <w:r>
        <w:rPr>
          <w:rFonts w:ascii="Arial" w:hAnsi="Arial"/>
          <w:sz w:val="19"/>
        </w:rPr>
        <w:t>The historical sample is relatively small (1,200 cleaned customer records).</w:t>
      </w:r>
    </w:p>
    <w:p>
      <w:pPr>
        <w:pStyle w:val="ListBullet"/>
        <w:ind w:left="0"/>
      </w:pPr>
      <w:r>
        <w:rPr>
          <w:rFonts w:ascii="Arial" w:hAnsi="Arial"/>
          <w:sz w:val="19"/>
        </w:rPr>
        <w:t>Historical associations are observational and do not establish causation.</w:t>
      </w:r>
    </w:p>
    <w:p>
      <w:pPr>
        <w:pStyle w:val="ListBullet"/>
        <w:ind w:left="0"/>
      </w:pPr>
      <w:r>
        <w:rPr>
          <w:rFonts w:ascii="Arial" w:hAnsi="Arial"/>
          <w:sz w:val="19"/>
        </w:rPr>
        <w:t>The final weighted Logistic Regression overestimates absolute churn probabilities on the held-out data.</w:t>
      </w:r>
    </w:p>
    <w:p>
      <w:pPr>
        <w:pStyle w:val="ListBullet"/>
        <w:ind w:left="0"/>
      </w:pPr>
      <w:r>
        <w:rPr>
          <w:rFonts w:ascii="Arial" w:hAnsi="Arial"/>
          <w:sz w:val="19"/>
        </w:rPr>
        <w:t>The 25% profit margin, JD 20 campaign cost and 35% retention effectiveness are supplied assumptions rather than experimentally validated NovaMart estimates.</w:t>
      </w:r>
    </w:p>
    <w:p>
      <w:pPr>
        <w:pStyle w:val="ListBullet"/>
        <w:ind w:left="0"/>
      </w:pPr>
      <w:r>
        <w:rPr>
          <w:rFonts w:ascii="Arial" w:hAnsi="Arial"/>
          <w:sz w:val="19"/>
        </w:rPr>
        <w:t>Expected saved profit and expected net benefit are estimates, not guaranteed financial outcomes.</w:t>
      </w:r>
    </w:p>
    <w:p>
      <w:pPr>
        <w:pStyle w:val="ListBullet"/>
        <w:ind w:left="0"/>
      </w:pPr>
      <w:r>
        <w:rPr>
          <w:rFonts w:ascii="Arial" w:hAnsi="Arial"/>
          <w:sz w:val="19"/>
        </w:rPr>
        <w:t>Model performance should be monitored after deployment and updated as new customer outcomes become available.</w:t>
      </w:r>
    </w:p>
    <w:p>
      <w:pPr>
        <w:pStyle w:val="Heading1"/>
      </w:pPr>
      <w:r>
        <w:t>12. References</w:t>
      </w:r>
    </w:p>
    <w:p>
      <w:pPr>
        <w:ind w:left="288"/>
      </w:pPr>
      <w:r>
        <w:t>Luminus Technical University College, Department of ASAC. Applied Analytical Models - Final Course Project: NovaMart Customer Retention and Campaign Optimization. Course Code 30772343.</w:t>
      </w:r>
    </w:p>
    <w:p>
      <w:pPr>
        <w:ind w:left="288"/>
      </w:pPr>
      <w:r>
        <w:t>pandas documentation - data manipulation and analysis library (pandas.pydata.org).</w:t>
      </w:r>
    </w:p>
    <w:p>
      <w:pPr>
        <w:ind w:left="288"/>
      </w:pPr>
      <w:r>
        <w:t>scikit-learn User Guide - preprocessing, Logistic Regression, Random Forest, model evaluation, cross-validation and calibration (scikit-learn.org).</w:t>
      </w:r>
    </w:p>
    <w:p>
      <w:pPr>
        <w:ind w:left="288"/>
      </w:pPr>
      <w:r>
        <w:t>Matplotlib documentation - analytical visualization library (matplotlib.org).</w:t>
      </w:r>
    </w:p>
    <w:p/>
    <w:p>
      <w:pPr>
        <w:jc w:val="center"/>
      </w:pPr>
      <w:r>
        <w:rPr>
          <w:b/>
          <w:sz w:val="19"/>
        </w:rPr>
        <w:t>GitHub repository: https://github.com/HaneenDahbour/novamart-customer-retention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20"/>
    </w:pPr>
    <w:rPr>
      <w:rFonts w:ascii="Arial" w:hAnsi="Arial"/>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