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FA682">
      <w:pPr>
        <w:spacing w:before="0" w:after="80"/>
        <w:jc w:val="left"/>
      </w:pPr>
      <w:bookmarkStart w:id="0" w:name="_GoBack"/>
      <w:bookmarkEnd w:id="0"/>
      <w:r>
        <w:rPr>
          <w:rFonts w:ascii="Calibri Light" w:hAnsi="Calibri Light"/>
          <w:b/>
          <w:i w:val="0"/>
          <w:color w:val="1F4E79"/>
          <w:sz w:val="44"/>
        </w:rPr>
        <w:t>TECHNICAL REPORT: THE IMPACT OF ARTIFICIAL INTELLIGENCE ON SOFTWARE ARCHITECTURE</w:t>
      </w:r>
    </w:p>
    <w:p w14:paraId="04F79BE3">
      <w:pPr>
        <w:spacing w:after="480"/>
      </w:pPr>
      <w:r>
        <w:rPr>
          <w:rFonts w:ascii="Calibri" w:hAnsi="Calibri"/>
          <w:b w:val="0"/>
          <w:i/>
          <w:color w:val="5A5A5A"/>
          <w:sz w:val="20"/>
        </w:rPr>
        <w:t>Prepared by AI Automated Tool | Technical Assessment Series | October 2026</w:t>
      </w:r>
    </w:p>
    <w:p w14:paraId="0E095E21">
      <w:pPr>
        <w:keepNext/>
        <w:pBdr>
          <w:bottom w:val="single" w:color="1F4E79" w:sz="12" w:space="4"/>
        </w:pBdr>
        <w:spacing w:before="360" w:after="120"/>
      </w:pPr>
      <w:r>
        <w:rPr>
          <w:rFonts w:ascii="Calibri" w:hAnsi="Calibri"/>
          <w:b/>
          <w:i w:val="0"/>
          <w:color w:val="1F4E79"/>
          <w:sz w:val="28"/>
        </w:rPr>
        <w:t>1. Executive Summary</w:t>
      </w:r>
    </w:p>
    <w:p w14:paraId="4B35E9E3">
      <w:pPr>
        <w:spacing w:after="240" w:line="276" w:lineRule="auto"/>
      </w:pPr>
      <w:r>
        <w:rPr>
          <w:rFonts w:ascii="Calibri" w:hAnsi="Calibri"/>
          <w:b w:val="0"/>
          <w:i w:val="0"/>
          <w:color w:val="2B2B2B"/>
          <w:sz w:val="22"/>
        </w:rPr>
        <w:t>Modern engineering is undergoing a foundational paradigm shift driven by the integration of artificial intelligence and large language models into core application pipelines. Traditional software design principles, heavily grounded in deterministic, rule-based computational logic, are adapting to accommodate the probabilistic, fluid nature of neural network behaviors. This technical report analyzes the foundational systemic transformations, newly emergent structural archetypes, and immediate runtime constraints impacting production environments today.</w:t>
      </w:r>
    </w:p>
    <w:p w14:paraId="2A41DE79">
      <w:pPr>
        <w:keepNext/>
        <w:pBdr>
          <w:bottom w:val="single" w:color="1F4E79" w:sz="12" w:space="4"/>
        </w:pBdr>
        <w:spacing w:before="360" w:after="120"/>
      </w:pPr>
      <w:r>
        <w:rPr>
          <w:rFonts w:ascii="Calibri" w:hAnsi="Calibri"/>
          <w:b/>
          <w:i w:val="0"/>
          <w:color w:val="1F4E79"/>
          <w:sz w:val="28"/>
        </w:rPr>
        <w:t>2. Architectural Shifts &amp; Patterns</w:t>
      </w:r>
    </w:p>
    <w:p w14:paraId="6F2C96E0">
      <w:pPr>
        <w:spacing w:after="160" w:line="276" w:lineRule="auto"/>
      </w:pPr>
      <w:r>
        <w:rPr>
          <w:rFonts w:ascii="Calibri" w:hAnsi="Calibri"/>
          <w:b w:val="0"/>
          <w:i w:val="0"/>
          <w:color w:val="2B2B2B"/>
          <w:sz w:val="22"/>
        </w:rPr>
        <w:t>The deployment of intelligence at scale requires specialized integration patterns that isolate non-deterministic infrastructure from stable enterprise cores. Two design configurations have established standard industry prevalence:</w:t>
      </w:r>
    </w:p>
    <w:p w14:paraId="4F990959">
      <w:pPr>
        <w:pStyle w:val="23"/>
        <w:spacing w:after="80" w:line="276" w:lineRule="auto"/>
      </w:pPr>
      <w:r>
        <w:rPr>
          <w:rFonts w:ascii="Calibri" w:hAnsi="Calibri"/>
          <w:b/>
          <w:i w:val="0"/>
          <w:color w:val="2B2B2B"/>
          <w:sz w:val="22"/>
        </w:rPr>
        <w:t xml:space="preserve">Retrieval-Augmented Generation (RAG): </w:t>
      </w:r>
      <w:r>
        <w:rPr>
          <w:rFonts w:ascii="Calibri" w:hAnsi="Calibri"/>
          <w:b w:val="0"/>
          <w:i w:val="0"/>
          <w:color w:val="2B2B2B"/>
          <w:sz w:val="22"/>
        </w:rPr>
        <w:t>Decouples core parameters from private knowledge contexts. By leveraging specialized, external vector databases for high-dimensional semantic search indexing, architectures inject highly relevant real-time context data dynamically directly into token prompt windows.</w:t>
      </w:r>
    </w:p>
    <w:p w14:paraId="0AAE3611">
      <w:pPr>
        <w:pStyle w:val="23"/>
        <w:spacing w:after="240" w:line="276" w:lineRule="auto"/>
      </w:pPr>
      <w:r>
        <w:rPr>
          <w:rFonts w:ascii="Calibri" w:hAnsi="Calibri"/>
          <w:b/>
          <w:i w:val="0"/>
          <w:color w:val="2B2B2B"/>
          <w:sz w:val="22"/>
        </w:rPr>
        <w:t xml:space="preserve">Autonomous Multi-Agent Networks: </w:t>
      </w:r>
      <w:r>
        <w:rPr>
          <w:rFonts w:ascii="Calibri" w:hAnsi="Calibri"/>
          <w:b w:val="0"/>
          <w:i w:val="0"/>
          <w:color w:val="2B2B2B"/>
          <w:sz w:val="22"/>
        </w:rPr>
        <w:t>Distributes complex system tasks across discrete, isolated runtime agents. Each worker agent possesses dedicated system instructions, specialized tooling APIs, and localized recursive feedback logic loops to handle exceptions asynchronously without exhausting master context constraints.</w:t>
      </w:r>
    </w:p>
    <w:p w14:paraId="4F8FE0B2">
      <w:pPr>
        <w:keepNext/>
        <w:pBdr>
          <w:bottom w:val="single" w:color="1F4E79" w:sz="12" w:space="4"/>
        </w:pBdr>
        <w:spacing w:before="360" w:after="120"/>
      </w:pPr>
      <w:r>
        <w:rPr>
          <w:rFonts w:ascii="Calibri" w:hAnsi="Calibri"/>
          <w:b/>
          <w:i w:val="0"/>
          <w:color w:val="1F4E79"/>
          <w:sz w:val="28"/>
        </w:rPr>
        <w:t>3. Systemic Bottlenecks &amp; Operational Constraints</w:t>
      </w:r>
    </w:p>
    <w:p w14:paraId="1D639DC1">
      <w:pPr>
        <w:spacing w:after="240" w:line="276" w:lineRule="auto"/>
      </w:pPr>
      <w:r>
        <w:rPr>
          <w:rFonts w:ascii="Calibri" w:hAnsi="Calibri"/>
          <w:b w:val="0"/>
          <w:i w:val="0"/>
          <w:color w:val="2B2B2B"/>
          <w:sz w:val="22"/>
        </w:rPr>
        <w:t>While generative capabilities offer profound user experience enhancements, engineers face severe resource and performance challenges. Critical engineering bottlenecks include:</w:t>
      </w:r>
    </w:p>
    <w:p w14:paraId="60B201A9">
      <w:pPr>
        <w:pStyle w:val="23"/>
        <w:spacing w:after="80" w:line="276" w:lineRule="auto"/>
      </w:pPr>
      <w:r>
        <w:rPr>
          <w:rFonts w:ascii="Calibri" w:hAnsi="Calibri"/>
          <w:b/>
          <w:i w:val="0"/>
          <w:color w:val="2B2B2B"/>
          <w:sz w:val="22"/>
        </w:rPr>
        <w:t xml:space="preserve">Runtime Text Latency: </w:t>
      </w:r>
      <w:r>
        <w:rPr>
          <w:rFonts w:ascii="Calibri" w:hAnsi="Calibri"/>
          <w:b w:val="0"/>
          <w:i w:val="0"/>
          <w:color w:val="2B2B2B"/>
          <w:sz w:val="22"/>
        </w:rPr>
        <w:t>Token generation models introduce time-to-first-token (TTFT) metrics that often disrupt interactive interface standards, forcing systems toward strictly streaming protocols or queue architectures.</w:t>
      </w:r>
    </w:p>
    <w:p w14:paraId="03B10114">
      <w:pPr>
        <w:pStyle w:val="23"/>
        <w:spacing w:after="80" w:line="276" w:lineRule="auto"/>
      </w:pPr>
      <w:r>
        <w:rPr>
          <w:rFonts w:ascii="Calibri" w:hAnsi="Calibri"/>
          <w:b/>
          <w:i w:val="0"/>
          <w:color w:val="2B2B2B"/>
          <w:sz w:val="22"/>
        </w:rPr>
        <w:t xml:space="preserve">Operational Token Budgets: </w:t>
      </w:r>
      <w:r>
        <w:rPr>
          <w:rFonts w:ascii="Calibri" w:hAnsi="Calibri"/>
          <w:b w:val="0"/>
          <w:i w:val="0"/>
          <w:color w:val="2B2B2B"/>
          <w:sz w:val="22"/>
        </w:rPr>
        <w:t>Unbounded agent logic loops and recursive contextual expansion pose massive operational expenditure risks, making real-time traffic limiting and programmatic guardrails mandatory infrastructure components.</w:t>
      </w:r>
    </w:p>
    <w:p w14:paraId="4D3E23C6">
      <w:pPr>
        <w:pStyle w:val="23"/>
        <w:spacing w:after="320" w:line="276" w:lineRule="auto"/>
      </w:pPr>
      <w:r>
        <w:rPr>
          <w:rFonts w:ascii="Calibri" w:hAnsi="Calibri"/>
          <w:b/>
          <w:i w:val="0"/>
          <w:color w:val="2B2B2B"/>
          <w:sz w:val="22"/>
        </w:rPr>
        <w:t xml:space="preserve">State Synchronization: </w:t>
      </w:r>
      <w:r>
        <w:rPr>
          <w:rFonts w:ascii="Calibri" w:hAnsi="Calibri"/>
          <w:b w:val="0"/>
          <w:i w:val="0"/>
          <w:color w:val="2B2B2B"/>
          <w:sz w:val="22"/>
        </w:rPr>
        <w:t>Maintaining consistent transaction state tracking records across highly distributed, non-deterministic agent meshes introduces complex state-machine tracking hazards.</w:t>
      </w:r>
    </w:p>
    <w:p w14:paraId="148A4A60">
      <w:pPr>
        <w:keepNext/>
        <w:spacing w:after="80"/>
      </w:pPr>
      <w:r>
        <w:rPr>
          <w:rFonts w:ascii="Calibri" w:hAnsi="Calibri"/>
          <w:b/>
          <w:i w:val="0"/>
          <w:color w:val="5A5A5A"/>
          <w:sz w:val="20"/>
        </w:rPr>
        <w:t>Table 3.1: Architectural Blueprint Overhead Comparison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026075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5D383BA2">
            <w:pPr>
              <w:spacing w:after="0" w:line="240" w:lineRule="auto"/>
              <w:jc w:val="left"/>
              <w:rPr>
                <w:color w:val="376092" w:themeColor="accent1" w:themeShade="BF"/>
              </w:rPr>
            </w:pPr>
            <w:r>
              <w:rPr>
                <w:rFonts w:ascii="Calibri" w:hAnsi="Calibri"/>
                <w:b/>
                <w:i w:val="0"/>
                <w:color w:val="FFFFFF"/>
                <w:sz w:val="20"/>
              </w:rPr>
              <w:t>Architecture Pattern</w:t>
            </w:r>
          </w:p>
        </w:tc>
        <w:tc>
          <w:tcPr>
            <w:tcW w:w="3120" w:type="dxa"/>
          </w:tcPr>
          <w:p w14:paraId="18794A21">
            <w:pPr>
              <w:spacing w:after="0" w:line="240" w:lineRule="auto"/>
              <w:jc w:val="left"/>
              <w:rPr>
                <w:color w:val="376092" w:themeColor="accent1" w:themeShade="BF"/>
              </w:rPr>
            </w:pPr>
            <w:r>
              <w:rPr>
                <w:rFonts w:ascii="Calibri" w:hAnsi="Calibri"/>
                <w:b/>
                <w:i w:val="0"/>
                <w:color w:val="FFFFFF"/>
                <w:sz w:val="20"/>
              </w:rPr>
              <w:t>Primary Engineering Latency</w:t>
            </w:r>
          </w:p>
        </w:tc>
        <w:tc>
          <w:tcPr>
            <w:tcW w:w="3120" w:type="dxa"/>
          </w:tcPr>
          <w:p w14:paraId="67F78533">
            <w:pPr>
              <w:spacing w:after="0" w:line="240" w:lineRule="auto"/>
              <w:jc w:val="left"/>
              <w:rPr>
                <w:color w:val="376092" w:themeColor="accent1" w:themeShade="BF"/>
              </w:rPr>
            </w:pPr>
            <w:r>
              <w:rPr>
                <w:rFonts w:ascii="Calibri" w:hAnsi="Calibri"/>
                <w:b/>
                <w:i w:val="0"/>
                <w:color w:val="FFFFFF"/>
                <w:sz w:val="20"/>
              </w:rPr>
              <w:t>Operational Cost Profile</w:t>
            </w:r>
          </w:p>
        </w:tc>
      </w:tr>
      <w:tr w14:paraId="3DCF3C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09ED1B0A">
            <w:pPr>
              <w:spacing w:after="0" w:line="240" w:lineRule="auto"/>
              <w:jc w:val="left"/>
              <w:rPr>
                <w:color w:val="376092" w:themeColor="accent1" w:themeShade="BF"/>
              </w:rPr>
            </w:pPr>
            <w:r>
              <w:rPr>
                <w:rFonts w:ascii="Calibri" w:hAnsi="Calibri"/>
                <w:b w:val="0"/>
                <w:i w:val="0"/>
                <w:color w:val="2B2B2B"/>
                <w:sz w:val="20"/>
              </w:rPr>
              <w:t>Retrieval-Augmented Gen (RAG)</w:t>
            </w:r>
          </w:p>
        </w:tc>
        <w:tc>
          <w:tcPr>
            <w:tcW w:w="3120" w:type="dxa"/>
          </w:tcPr>
          <w:p w14:paraId="638DD260">
            <w:pPr>
              <w:spacing w:after="0" w:line="240" w:lineRule="auto"/>
              <w:jc w:val="left"/>
              <w:rPr>
                <w:color w:val="376092" w:themeColor="accent1" w:themeShade="BF"/>
              </w:rPr>
            </w:pPr>
            <w:r>
              <w:rPr>
                <w:rFonts w:ascii="Calibri" w:hAnsi="Calibri"/>
                <w:b w:val="0"/>
                <w:i w:val="0"/>
                <w:color w:val="2B2B2B"/>
                <w:sz w:val="20"/>
              </w:rPr>
              <w:t>Moderate (Vector Index Lookup)</w:t>
            </w:r>
          </w:p>
        </w:tc>
        <w:tc>
          <w:tcPr>
            <w:tcW w:w="3120" w:type="dxa"/>
          </w:tcPr>
          <w:p w14:paraId="0DDB047E">
            <w:pPr>
              <w:spacing w:after="0" w:line="240" w:lineRule="auto"/>
              <w:jc w:val="left"/>
              <w:rPr>
                <w:color w:val="376092" w:themeColor="accent1" w:themeShade="BF"/>
              </w:rPr>
            </w:pPr>
            <w:r>
              <w:rPr>
                <w:rFonts w:ascii="Calibri" w:hAnsi="Calibri"/>
                <w:b w:val="0"/>
                <w:i w:val="0"/>
                <w:color w:val="2B2B2B"/>
                <w:sz w:val="20"/>
              </w:rPr>
              <w:t>Predictable (Data Storage / Vector I/O)</w:t>
            </w:r>
          </w:p>
        </w:tc>
      </w:tr>
      <w:tr w14:paraId="325DBD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49A2AB7E">
            <w:pPr>
              <w:spacing w:after="0" w:line="240" w:lineRule="auto"/>
              <w:jc w:val="left"/>
              <w:rPr>
                <w:color w:val="376092" w:themeColor="accent1" w:themeShade="BF"/>
              </w:rPr>
            </w:pPr>
            <w:r>
              <w:rPr>
                <w:rFonts w:ascii="Calibri" w:hAnsi="Calibri"/>
                <w:b w:val="0"/>
                <w:i w:val="0"/>
                <w:color w:val="2B2B2B"/>
                <w:sz w:val="20"/>
              </w:rPr>
              <w:t>Multi-Agent Mesh Networks</w:t>
            </w:r>
          </w:p>
        </w:tc>
        <w:tc>
          <w:tcPr>
            <w:tcW w:w="3120" w:type="dxa"/>
          </w:tcPr>
          <w:p w14:paraId="0134155C">
            <w:pPr>
              <w:spacing w:after="0" w:line="240" w:lineRule="auto"/>
              <w:jc w:val="left"/>
              <w:rPr>
                <w:color w:val="376092" w:themeColor="accent1" w:themeShade="BF"/>
              </w:rPr>
            </w:pPr>
            <w:r>
              <w:rPr>
                <w:rFonts w:ascii="Calibri" w:hAnsi="Calibri"/>
                <w:b w:val="0"/>
                <w:i w:val="0"/>
                <w:color w:val="2B2B2B"/>
                <w:sz w:val="20"/>
              </w:rPr>
              <w:t>High (Recursive Execution Loops)</w:t>
            </w:r>
          </w:p>
        </w:tc>
        <w:tc>
          <w:tcPr>
            <w:tcW w:w="3120" w:type="dxa"/>
          </w:tcPr>
          <w:p w14:paraId="1BB641ED">
            <w:pPr>
              <w:spacing w:after="0" w:line="240" w:lineRule="auto"/>
              <w:jc w:val="left"/>
              <w:rPr>
                <w:color w:val="376092" w:themeColor="accent1" w:themeShade="BF"/>
              </w:rPr>
            </w:pPr>
            <w:r>
              <w:rPr>
                <w:rFonts w:ascii="Calibri" w:hAnsi="Calibri"/>
                <w:b w:val="0"/>
                <w:i w:val="0"/>
                <w:color w:val="2B2B2B"/>
                <w:sz w:val="20"/>
              </w:rPr>
              <w:t>Volatile (Variable Token Utilization)</w:t>
            </w:r>
          </w:p>
        </w:tc>
      </w:tr>
    </w:tbl>
    <w:p w14:paraId="3DED0E3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D19FF"/>
    <w:rsid w:val="777D06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326</Words>
  <Characters>2496</Characters>
  <Lines>0</Lines>
  <Paragraphs>0</Paragraphs>
  <TotalTime>0</TotalTime>
  <ScaleCrop>false</ScaleCrop>
  <LinksUpToDate>false</LinksUpToDate>
  <CharactersWithSpaces>2799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geethika suryadevara</cp:lastModifiedBy>
  <dcterms:modified xsi:type="dcterms:W3CDTF">2026-10-04T13:59:19Z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93FBE540866945AC97D236F837726D1B_13</vt:lpwstr>
  </property>
</Properties>
</file>