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725259"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725259"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725259"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725259"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725259"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725259"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725259"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725259"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725259"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725259"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725259"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725259"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725259" w:rsidP="007F0957">
      <w:hyperlink r:id="rId20" w:history="1">
        <w:r w:rsidR="00E34A59" w:rsidRPr="00341314">
          <w:rPr>
            <w:rStyle w:val="a5"/>
          </w:rPr>
          <w:t>http://on-demand.gputechconf.com/gtc/2015/presentation/S5148-Markus-Tavenrath.pdf</w:t>
        </w:r>
      </w:hyperlink>
    </w:p>
    <w:p w14:paraId="14BDCC23" w14:textId="77777777" w:rsidR="00F1728C" w:rsidRDefault="00725259"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725259"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725259"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725259"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725259" w:rsidP="007F0957">
      <w:hyperlink r:id="rId25" w:history="1">
        <w:r w:rsidR="00EE7D13" w:rsidRPr="00341314">
          <w:rPr>
            <w:rStyle w:val="a5"/>
          </w:rPr>
          <w:t>https://github.com/nvpro-samples/gl_cadscene_rendertechniques</w:t>
        </w:r>
      </w:hyperlink>
    </w:p>
    <w:p w14:paraId="346C0D2C" w14:textId="77777777" w:rsidR="00EE7D13" w:rsidRDefault="00725259"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725259" w:rsidP="00791384">
      <w:hyperlink r:id="rId27" w:history="1">
        <w:r w:rsidR="00CE09CC" w:rsidRPr="00341314">
          <w:rPr>
            <w:rStyle w:val="a5"/>
          </w:rPr>
          <w:t>http://on-demand.gputechconf.com/gtc/2015/presentation/S5135-Christoph-Kubisch-Pierre-Boudier.pdf</w:t>
        </w:r>
      </w:hyperlink>
    </w:p>
    <w:p w14:paraId="3C9FCB03" w14:textId="77777777" w:rsidR="00503D96" w:rsidRDefault="00725259"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725259"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72525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725259"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725259"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725259"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725259"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725259"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72525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72525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72525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72525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72525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72525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72525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72525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72525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72525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72525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72525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72525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72525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72525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72525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72525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72525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72525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72525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72525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72525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72525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72525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72525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72525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72525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72525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72525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72525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72525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72525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72525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725259"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725259"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725259"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725259"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72525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725259"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725259"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725259"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725259"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72525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72525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725259"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725259"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72525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72525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72525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72525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72525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725259"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72525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72525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72525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725259"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725259"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725259"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725259"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725259"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725259"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725259"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725259"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725259"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725259" w:rsidP="00CF1D29">
      <w:hyperlink r:id="rId62" w:history="1">
        <w:r w:rsidR="00CF1D29" w:rsidRPr="008E295E">
          <w:rPr>
            <w:rStyle w:val="a5"/>
          </w:rPr>
          <w:t>http://on-demand.gputechconf.com/gtc/2015/presentation/S5748-Evgeny-Makarov.pdf</w:t>
        </w:r>
      </w:hyperlink>
    </w:p>
    <w:p w14:paraId="40EAE961" w14:textId="77777777" w:rsidR="00CF1D29" w:rsidRDefault="00725259"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725259"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725259"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725259" w:rsidP="00671966">
      <w:hyperlink r:id="rId66" w:history="1">
        <w:r w:rsidR="00F36F23" w:rsidRPr="00853B4D">
          <w:rPr>
            <w:rStyle w:val="a5"/>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725259" w:rsidP="002B6B6D">
      <w:hyperlink r:id="rId67"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725259" w:rsidP="002B6B6D">
      <w:hyperlink r:id="rId68"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725259" w:rsidP="002B6B6D">
      <w:hyperlink r:id="rId69"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725259" w:rsidP="002B6B6D">
      <w:hyperlink r:id="rId70"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725259" w:rsidP="00671966">
      <w:hyperlink r:id="rId71"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725259" w:rsidP="007C7CC8">
      <w:hyperlink r:id="rId72"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725259" w:rsidP="007C7CC8">
      <w:hyperlink r:id="rId73"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725259" w:rsidP="00706BBB">
      <w:hyperlink r:id="rId74"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725259" w:rsidP="000A6D72">
      <w:hyperlink r:id="rId75"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725259" w:rsidP="000A6D72">
      <w:hyperlink r:id="rId76"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725259" w:rsidP="000A6D72">
      <w:hyperlink r:id="rId77"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725259" w:rsidP="000A6D72">
      <w:hyperlink r:id="rId78" w:history="1">
        <w:r w:rsidR="006B0374" w:rsidRPr="00EE76EF">
          <w:rPr>
            <w:rStyle w:val="a5"/>
          </w:rPr>
          <w:t>https://developer.amd.com/resources/articles-whitepapers/opencl-optimization-case-study-fast-fourier-transform-part-1/</w:t>
        </w:r>
      </w:hyperlink>
    </w:p>
    <w:p w14:paraId="7DCB868B" w14:textId="77777777" w:rsidR="006B0374" w:rsidRDefault="00725259" w:rsidP="000A6D72">
      <w:hyperlink r:id="rId79"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725259" w:rsidP="000A6D72">
      <w:hyperlink r:id="rId80"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725259" w:rsidP="000A6D72">
      <w:hyperlink r:id="rId81"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725259" w:rsidP="000A6D72">
      <w:hyperlink r:id="rId82"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725259" w:rsidP="000A6D72">
      <w:hyperlink r:id="rId83"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725259" w:rsidP="000A6D72">
      <w:hyperlink r:id="rId84"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72525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725259"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72525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72525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72525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725259"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725259"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725259"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72525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725259"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725259" w:rsidP="008A78ED">
      <w:pPr>
        <w:rPr>
          <w:rFonts w:ascii="Cambria Math" w:hAnsi="Cambria Math"/>
        </w:rPr>
      </w:pPr>
      <w:hyperlink r:id="rId85"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4285987"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lastRenderedPageBreak/>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725259" w:rsidP="00532F5F">
      <w:hyperlink r:id="rId88"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725259" w:rsidP="00532F5F">
      <w:hyperlink r:id="rId89"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725259" w:rsidP="00532F5F">
      <w:hyperlink r:id="rId90"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725259" w:rsidP="000A6D72">
      <w:hyperlink r:id="rId91"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725259" w:rsidP="000A6D72">
      <w:hyperlink r:id="rId92"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725259" w:rsidP="000A6D72">
      <w:hyperlink r:id="rId93"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725259" w:rsidP="000A6D72">
      <w:hyperlink r:id="rId94"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725259" w:rsidP="000A6D72">
      <w:hyperlink r:id="rId95"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725259" w:rsidP="000A6D72">
      <w:hyperlink r:id="rId96"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725259" w:rsidP="00BE6435">
      <w:hyperlink r:id="rId97"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72525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t>SRGB</w:t>
      </w:r>
    </w:p>
    <w:p w14:paraId="4D4015C2" w14:textId="77777777" w:rsidR="00A65B2D" w:rsidRDefault="00A65B2D" w:rsidP="0060312B"/>
    <w:p w14:paraId="2E8F8D18" w14:textId="77777777" w:rsidR="009959AE" w:rsidRDefault="009959AE" w:rsidP="009959AE">
      <w:pPr>
        <w:pStyle w:val="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725259" w:rsidP="00342FCC">
      <w:hyperlink r:id="rId99"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725259" w:rsidP="00715D0F">
      <w:hyperlink r:id="rId100"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725259" w:rsidP="0073706D">
      <w:hyperlink r:id="rId101"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725259" w:rsidP="0073706D">
      <w:hyperlink r:id="rId102"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725259" w:rsidP="00A33551">
      <w:hyperlink r:id="rId103"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725259" w:rsidP="00583425">
      <w:hyperlink r:id="rId104"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725259" w:rsidP="00913203">
      <w:pPr>
        <w:ind w:firstLine="420"/>
      </w:pPr>
      <w:hyperlink r:id="rId105"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725259" w:rsidP="00A01FB5">
      <w:pPr>
        <w:ind w:firstLine="420"/>
      </w:pPr>
      <w:hyperlink r:id="rId106"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725259" w:rsidP="00615AA0">
      <w:hyperlink r:id="rId108"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725259" w:rsidP="00101590">
      <w:hyperlink r:id="rId109"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725259" w:rsidP="00E84665">
      <w:hyperlink r:id="rId110"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725259" w:rsidP="00586800">
      <w:hyperlink r:id="rId112"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725259" w:rsidP="00EE323B">
      <w:hyperlink r:id="rId113"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725259" w:rsidP="00EE323B">
      <w:hyperlink r:id="rId114"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725259" w:rsidP="00EE323B">
      <w:hyperlink r:id="rId115"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725259" w:rsidP="000D15C5">
      <w:hyperlink r:id="rId116"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725259" w:rsidP="000D15C5">
      <w:hyperlink r:id="rId117"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725259" w:rsidP="000D15C5">
      <w:hyperlink r:id="rId118"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725259" w:rsidP="00341A9A">
      <w:hyperlink r:id="rId121"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725259" w:rsidP="00AD4CDF">
      <w:hyperlink r:id="rId122"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725259" w:rsidP="00AD4CDF">
      <w:hyperlink r:id="rId123"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725259" w:rsidP="001932A7">
      <w:hyperlink r:id="rId124"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725259" w:rsidP="00AA74BE">
      <w:hyperlink r:id="rId125"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725259" w:rsidP="00BA7824">
      <w:hyperlink r:id="rId126"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725259" w:rsidP="00BA7824">
      <w:hyperlink r:id="rId127" w:history="1">
        <w:r w:rsidR="00BA7824" w:rsidRPr="00090287">
          <w:rPr>
            <w:rStyle w:val="a5"/>
          </w:rPr>
          <w:t>https://developer.nvidia.com/content/hybrid-ray-traced-shadows</w:t>
        </w:r>
      </w:hyperlink>
    </w:p>
    <w:p w14:paraId="0C817977" w14:textId="77777777" w:rsidR="00F26D67" w:rsidRDefault="00725259" w:rsidP="00BA7824">
      <w:hyperlink r:id="rId128"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725259" w:rsidP="00BA7824">
      <w:hyperlink r:id="rId129" w:history="1">
        <w:r w:rsidR="00BA7824" w:rsidRPr="00090287">
          <w:rPr>
            <w:rStyle w:val="a5"/>
          </w:rPr>
          <w:t>https://developer.nvidia.com/hybrid-frustum-traced-shadows-0</w:t>
        </w:r>
      </w:hyperlink>
    </w:p>
    <w:p w14:paraId="3CC6DF66" w14:textId="77777777" w:rsidR="00997830" w:rsidRDefault="00725259" w:rsidP="00997830">
      <w:hyperlink r:id="rId130"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725259" w:rsidP="00BA7824">
      <w:hyperlink r:id="rId131"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725259" w:rsidP="007D395C">
      <w:hyperlink r:id="rId132"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725259" w:rsidP="00736349">
      <w:hyperlink r:id="rId133"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725259" w:rsidP="00736349">
      <w:hyperlink r:id="rId134"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725259" w:rsidP="00146780">
      <w:hyperlink r:id="rId135"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725259" w:rsidP="00092CEC">
      <w:hyperlink r:id="rId136"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725259" w:rsidP="00092CEC">
      <w:hyperlink r:id="rId137"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725259" w:rsidP="00092CEC">
      <w:hyperlink r:id="rId138"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rPr>
          <w:rFonts w:hint="eastAsia"/>
        </w:rPr>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rPr>
          <w:rFonts w:hint="eastAsia"/>
        </w:rPr>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rPr>
          <w:rFonts w:hint="eastAsia"/>
        </w:rPr>
      </w:pP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lastRenderedPageBreak/>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w:t>
      </w:r>
      <w:r w:rsidR="002A78DC">
        <w:rPr>
          <w:rFonts w:hint="eastAsia"/>
        </w:rPr>
        <w:lastRenderedPageBreak/>
        <w:t>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lastRenderedPageBreak/>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bookmarkStart w:id="71" w:name="_GoBack"/>
      <w:bookmarkEnd w:id="71"/>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lastRenderedPageBreak/>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w:t>
      </w:r>
      <w:r>
        <w:rPr>
          <w:rFonts w:hint="eastAsia"/>
        </w:rPr>
        <w:lastRenderedPageBreak/>
        <w:t>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725259" w:rsidP="007551B4">
      <w:hyperlink r:id="rId143"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725259" w:rsidP="00A61B9A">
      <w:hyperlink r:id="rId144" w:history="1">
        <w:r w:rsidR="00A61B9A" w:rsidRPr="00DD7360">
          <w:rPr>
            <w:rStyle w:val="a5"/>
          </w:rPr>
          <w:t>https://software.intel.com/en-us/blogs/2013/03/18/gtd-light-scattering-sample-updated</w:t>
        </w:r>
      </w:hyperlink>
    </w:p>
    <w:p w14:paraId="77E23A49" w14:textId="77777777" w:rsidR="00A61B9A" w:rsidRDefault="00725259" w:rsidP="00A61B9A">
      <w:hyperlink r:id="rId145" w:history="1">
        <w:r w:rsidR="00A61B9A" w:rsidRPr="00DD7360">
          <w:rPr>
            <w:rStyle w:val="a5"/>
          </w:rPr>
          <w:t>https://software.intel.com/en-us/blogs/2013/06/26/outdoor-light-scattering-sample</w:t>
        </w:r>
      </w:hyperlink>
    </w:p>
    <w:p w14:paraId="3CE2F443" w14:textId="77777777" w:rsidR="00A61B9A" w:rsidRDefault="00725259" w:rsidP="00A61B9A">
      <w:hyperlink r:id="rId146"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725259" w:rsidP="008E7917">
      <w:pPr>
        <w:rPr>
          <w:rStyle w:val="a5"/>
        </w:rPr>
      </w:pPr>
      <w:hyperlink r:id="rId147"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725259" w:rsidP="00F55E18">
      <w:hyperlink r:id="rId148"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725259" w:rsidP="00AE2A40">
      <w:hyperlink r:id="rId149"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lastRenderedPageBreak/>
        <w:t>6.</w:t>
      </w:r>
      <w:r w:rsidRPr="00A27846">
        <w:t>[Enderton 2010] Eric Enderton, Erik Sintorn, Peter Shirley, David Luebke. "Stochastic Transparency." I3D 2010.</w:t>
      </w:r>
    </w:p>
    <w:p w14:paraId="3B52D8DA" w14:textId="77777777" w:rsidR="00E65549" w:rsidRDefault="00725259" w:rsidP="007551B4">
      <w:hyperlink r:id="rId150"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725259" w:rsidP="00817E79">
      <w:hyperlink r:id="rId151"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725259" w:rsidP="00817E79">
      <w:hyperlink r:id="rId152"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725259" w:rsidP="00817E79">
      <w:pPr>
        <w:rPr>
          <w:rStyle w:val="a5"/>
        </w:rPr>
      </w:pPr>
      <w:hyperlink r:id="rId153"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725259" w:rsidP="0016736B">
      <w:hyperlink r:id="rId154"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725259" w:rsidP="00817E79">
      <w:hyperlink r:id="rId155"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725259" w:rsidP="00574456">
      <w:hyperlink r:id="rId156"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725259" w:rsidP="00574456">
      <w:hyperlink r:id="rId157"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725259" w:rsidP="000861CE">
      <w:hyperlink r:id="rId158"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725259" w:rsidP="00574456">
      <w:hyperlink r:id="rId159"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725259" w:rsidP="00574456">
      <w:hyperlink r:id="rId160"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725259" w:rsidP="00574456">
      <w:hyperlink r:id="rId161"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725259" w:rsidP="00CE0699">
      <w:hyperlink r:id="rId162"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725259" w:rsidP="00CE0699">
      <w:hyperlink r:id="rId163"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725259" w:rsidP="00CE0699">
      <w:hyperlink r:id="rId164"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725259" w:rsidP="00574456">
      <w:pPr>
        <w:rPr>
          <w:rStyle w:val="a5"/>
        </w:rPr>
      </w:pPr>
      <w:hyperlink r:id="rId165"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725259" w:rsidP="000518EB">
      <w:hyperlink r:id="rId166"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725259" w:rsidP="00574456">
      <w:hyperlink r:id="rId167"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725259" w:rsidP="00010C25">
      <w:hyperlink r:id="rId168"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2"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725259" w:rsidP="00C26328">
      <w:hyperlink r:id="rId169"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lastRenderedPageBreak/>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725259" w:rsidP="004E1FF0">
      <w:hyperlink r:id="rId170"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725259" w:rsidP="004E1FF0">
      <w:hyperlink r:id="rId171"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725259" w:rsidP="007E2E80">
      <w:hyperlink r:id="rId172"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lastRenderedPageBreak/>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725259" w:rsidP="004E1FF0">
      <w:hyperlink r:id="rId173"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725259" w:rsidP="004E1FF0">
      <w:hyperlink r:id="rId174"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725259" w:rsidP="004E1FF0">
      <w:hyperlink r:id="rId175"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725259" w:rsidP="004E1FF0">
      <w:hyperlink r:id="rId176"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725259" w:rsidP="009033CA">
      <w:hyperlink r:id="rId177"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725259" w:rsidP="009033CA">
      <w:hyperlink r:id="rId178"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725259" w:rsidP="009033CA">
      <w:pPr>
        <w:rPr>
          <w:rStyle w:val="a5"/>
        </w:rPr>
      </w:pPr>
      <w:hyperlink r:id="rId179"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lastRenderedPageBreak/>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80"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725259" w:rsidP="000C69D8">
      <w:hyperlink r:id="rId182"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725259" w:rsidP="00577F9B">
      <w:pPr>
        <w:rPr>
          <w:b/>
        </w:rPr>
      </w:pPr>
      <w:hyperlink r:id="rId183"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725259" w:rsidP="00C30B3F">
      <w:hyperlink r:id="rId184"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725259" w:rsidP="00DA4806">
      <w:hyperlink r:id="rId185"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725259" w:rsidP="00DA4806">
      <w:hyperlink r:id="rId186"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lastRenderedPageBreak/>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725259" w:rsidP="000F4439">
      <w:hyperlink r:id="rId187"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lastRenderedPageBreak/>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725259" w:rsidP="00745412">
      <w:pPr>
        <w:rPr>
          <w:rStyle w:val="a5"/>
        </w:rPr>
      </w:pPr>
      <w:hyperlink r:id="rId188"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725259" w:rsidP="00745412">
      <w:hyperlink r:id="rId189"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725259" w:rsidP="00745412">
      <w:hyperlink r:id="rId190"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2"/>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lastRenderedPageBreak/>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5" w:name="_Toc497394704"/>
      <w:r>
        <w:rPr>
          <w:rFonts w:hint="eastAsia"/>
        </w:rPr>
        <w:t>传统的</w:t>
      </w:r>
      <w:bookmarkEnd w:id="75"/>
    </w:p>
    <w:p w14:paraId="2ABDB225" w14:textId="77777777"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9" w:name="_Toc497394708"/>
      <w:r>
        <w:rPr>
          <w:rFonts w:hint="eastAsia"/>
        </w:rPr>
        <w:t>次世代</w:t>
      </w:r>
      <w:bookmarkEnd w:id="79"/>
    </w:p>
    <w:p w14:paraId="1B6F117F" w14:textId="77777777"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725259" w:rsidP="00BA19D7">
      <w:hyperlink r:id="rId191"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725259" w:rsidP="00D21E22">
      <w:hyperlink r:id="rId192"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725259" w:rsidP="00D21E22">
      <w:hyperlink r:id="rId193"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lastRenderedPageBreak/>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lastRenderedPageBreak/>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lastRenderedPageBreak/>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725259" w:rsidP="00BA19D7">
      <w:hyperlink r:id="rId196" w:history="1">
        <w:r w:rsidR="00830362" w:rsidRPr="00DD7360">
          <w:rPr>
            <w:rStyle w:val="a5"/>
          </w:rPr>
          <w:t>https://software.intel.com/en-us/blogs/2013/03/18/gtd-light-scattering-sample-updated</w:t>
        </w:r>
      </w:hyperlink>
    </w:p>
    <w:p w14:paraId="26472CE1" w14:textId="77777777" w:rsidR="00752CCE" w:rsidRDefault="00725259" w:rsidP="00BA19D7">
      <w:hyperlink r:id="rId197" w:history="1">
        <w:r w:rsidR="00752CCE" w:rsidRPr="00DD7360">
          <w:rPr>
            <w:rStyle w:val="a5"/>
          </w:rPr>
          <w:t>https://software.intel.com/en-us/blogs/2013/06/26/outdoor-light-scattering-sample</w:t>
        </w:r>
      </w:hyperlink>
    </w:p>
    <w:p w14:paraId="13918470" w14:textId="77777777" w:rsidR="00BA19D7" w:rsidRDefault="00725259" w:rsidP="00BA19D7">
      <w:hyperlink r:id="rId198"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725259" w:rsidP="00BA19D7">
      <w:hyperlink r:id="rId199"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725259" w:rsidP="0075709E">
      <w:hyperlink r:id="rId200"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lastRenderedPageBreak/>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lastRenderedPageBreak/>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lastRenderedPageBreak/>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4"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725259" w:rsidP="00BC16EF">
      <w:hyperlink r:id="rId204"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725259" w:rsidP="00BC16EF">
      <w:hyperlink r:id="rId205"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725259" w:rsidP="009D7E21">
      <w:hyperlink r:id="rId206"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725259" w:rsidP="009D7E21">
      <w:hyperlink r:id="rId207"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725259" w:rsidP="009D7E21">
      <w:hyperlink r:id="rId208"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725259" w:rsidP="009D7E21">
      <w:hyperlink r:id="rId209"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10"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725259" w:rsidP="006B231C">
      <w:hyperlink r:id="rId211"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lastRenderedPageBreak/>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725259" w:rsidP="00650CF3">
      <w:pPr>
        <w:rPr>
          <w:rFonts w:ascii="Arial" w:hAnsi="Arial" w:cs="Arial"/>
          <w:color w:val="333333"/>
          <w:sz w:val="20"/>
          <w:szCs w:val="20"/>
          <w:shd w:val="clear" w:color="auto" w:fill="FFFFFF"/>
        </w:rPr>
      </w:pPr>
      <w:hyperlink r:id="rId212"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lastRenderedPageBreak/>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725259" w:rsidP="00C633ED">
      <w:hyperlink r:id="rId213"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lastRenderedPageBreak/>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725259" w:rsidP="006B231C">
      <w:hyperlink r:id="rId214"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725259" w:rsidP="006B231C">
      <w:hyperlink r:id="rId215"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5"/>
    </w:p>
    <w:p w14:paraId="2A4E6C75" w14:textId="77777777" w:rsidR="004904DA" w:rsidRDefault="004D6C52" w:rsidP="004904DA">
      <w:pPr>
        <w:pStyle w:val="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7"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lastRenderedPageBreak/>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725259" w:rsidP="00C633ED">
      <w:hyperlink r:id="rId216" w:history="1">
        <w:r w:rsidR="00DB60BF" w:rsidRPr="00853B4D">
          <w:rPr>
            <w:rStyle w:val="a5"/>
          </w:rPr>
          <w:t>http://research.tri-ace.com/Data/s2012_beyond_CourseNotes.pdf</w:t>
        </w:r>
      </w:hyperlink>
    </w:p>
    <w:p w14:paraId="7F65FB11" w14:textId="1AD475F7" w:rsidR="00DB60BF" w:rsidRDefault="00725259" w:rsidP="00C633ED">
      <w:hyperlink r:id="rId217" w:history="1">
        <w:r w:rsidR="00DB60BF" w:rsidRPr="00853B4D">
          <w:rPr>
            <w:rStyle w:val="a5"/>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725259" w:rsidP="00C633ED">
      <w:hyperlink r:id="rId218" w:history="1">
        <w:r w:rsidR="00855353" w:rsidRPr="00853B4D">
          <w:rPr>
            <w:rStyle w:val="a5"/>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1"/>
      </w:pPr>
      <w:bookmarkStart w:id="88" w:name="_Toc497394723"/>
      <w:bookmarkEnd w:id="87"/>
      <w:r>
        <w:rPr>
          <w:rFonts w:hint="eastAsia"/>
        </w:rPr>
        <w:t>球函数</w:t>
      </w:r>
      <w:r>
        <w:rPr>
          <w:rFonts w:hint="eastAsia"/>
        </w:rPr>
        <w:t xml:space="preserve"> //Non</w:t>
      </w:r>
      <w:r>
        <w:t>-IBL</w:t>
      </w:r>
    </w:p>
    <w:p w14:paraId="23560739" w14:textId="77777777" w:rsidR="008228EA" w:rsidRDefault="008228EA" w:rsidP="008228EA">
      <w:pPr>
        <w:pStyle w:val="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725259" w:rsidP="008228EA">
      <w:hyperlink r:id="rId219" w:history="1">
        <w:r w:rsidR="008228EA" w:rsidRPr="00853B4D">
          <w:rPr>
            <w:rStyle w:val="a5"/>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2"/>
      </w:pPr>
      <w:r>
        <w:rPr>
          <w:rFonts w:hint="eastAsia"/>
        </w:rPr>
        <w:t>A</w:t>
      </w:r>
      <w:r>
        <w:t>HD</w:t>
      </w:r>
    </w:p>
    <w:p w14:paraId="25281904" w14:textId="77777777" w:rsidR="008228EA" w:rsidRDefault="008228EA" w:rsidP="008228EA"/>
    <w:p w14:paraId="0E5469F3" w14:textId="77777777" w:rsidR="008228EA" w:rsidRDefault="008228EA" w:rsidP="008228EA">
      <w:pPr>
        <w:pStyle w:val="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725259" w:rsidP="008228EA">
      <w:hyperlink r:id="rId220" w:history="1">
        <w:r w:rsidR="008228EA" w:rsidRPr="00853B4D">
          <w:rPr>
            <w:rStyle w:val="a5"/>
          </w:rPr>
          <w:t>https://mynameismjp.wordpress.com/publications/</w:t>
        </w:r>
      </w:hyperlink>
    </w:p>
    <w:p w14:paraId="48D4B3D0" w14:textId="77777777" w:rsidR="008228EA" w:rsidRDefault="008228EA" w:rsidP="008228EA"/>
    <w:p w14:paraId="230314B8" w14:textId="77777777" w:rsidR="008228EA" w:rsidRDefault="00725259" w:rsidP="008228EA">
      <w:hyperlink r:id="rId221" w:history="1">
        <w:r w:rsidR="008228EA" w:rsidRPr="00853B4D">
          <w:rPr>
            <w:rStyle w:val="a5"/>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77777777" w:rsidR="007D035A" w:rsidRDefault="007D035A" w:rsidP="00792DCC">
      <w:pPr>
        <w:pStyle w:val="1"/>
      </w:pPr>
      <w:r>
        <w:rPr>
          <w:rFonts w:hint="eastAsia"/>
        </w:rPr>
        <w:t>光能传递（</w:t>
      </w:r>
      <w:r>
        <w:rPr>
          <w:rFonts w:hint="eastAsia"/>
        </w:rPr>
        <w:t>Radiosity</w:t>
      </w:r>
      <w:r>
        <w:rPr>
          <w:rFonts w:hint="eastAsia"/>
        </w:rPr>
        <w:t>）</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pPr>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77777777" w:rsidR="00BF0A16" w:rsidRDefault="00BF0A16" w:rsidP="007D035A"/>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725259" w:rsidP="000546E4">
      <w:hyperlink r:id="rId222"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60160E">
      <w:pPr>
        <w:pStyle w:val="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725259" w:rsidP="007D035A">
      <w:hyperlink r:id="rId223" w:history="1">
        <w:r w:rsidR="00F02D44" w:rsidRPr="00584A1F">
          <w:rPr>
            <w:rStyle w:val="a5"/>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725259" w:rsidP="007D035A">
      <w:hyperlink r:id="rId224" w:history="1">
        <w:r w:rsidR="00EA001A" w:rsidRPr="00A66D21">
          <w:rPr>
            <w:rStyle w:val="a5"/>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lastRenderedPageBreak/>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725259" w:rsidP="007D035A">
      <w:hyperlink r:id="rId225" w:history="1">
        <w:r w:rsidR="001E319B" w:rsidRPr="00722F02">
          <w:rPr>
            <w:rStyle w:val="a5"/>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725259" w:rsidP="007D035A">
      <w:hyperlink r:id="rId226" w:history="1">
        <w:r w:rsidR="00AC3288" w:rsidRPr="00F00E7B">
          <w:rPr>
            <w:rStyle w:val="a5"/>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1D3375BA" w14:textId="77777777" w:rsidR="006D5010" w:rsidRDefault="006D5010" w:rsidP="007D035A"/>
    <w:p w14:paraId="4D0264E4" w14:textId="77777777" w:rsidR="007C0502" w:rsidRDefault="007C0502" w:rsidP="007D035A"/>
    <w:p w14:paraId="529A296C" w14:textId="77777777" w:rsidR="007D15E9" w:rsidRDefault="00225FB6" w:rsidP="007D035A">
      <w:r>
        <w:t>渲染方程</w:t>
      </w:r>
      <w:r>
        <w:t xml:space="preserve"> </w:t>
      </w:r>
      <w:r>
        <w:rPr>
          <w:rFonts w:hint="eastAsia"/>
        </w:rPr>
        <w:t>第二类</w:t>
      </w:r>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377513"/>
    <w:p w14:paraId="164291DE" w14:textId="6010AC60" w:rsidR="00377513" w:rsidRDefault="00377513" w:rsidP="00377513">
      <w:r w:rsidRPr="00377513">
        <w:t>5.5.3 Integrals over Area</w:t>
      </w:r>
    </w:p>
    <w:p w14:paraId="12E2B982" w14:textId="77777777" w:rsidR="00377513" w:rsidRDefault="00377513" w:rsidP="00377513"/>
    <w:p w14:paraId="1EF36B1F" w14:textId="77777777" w:rsidR="00377513" w:rsidRDefault="00377513" w:rsidP="00377513"/>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725259" w:rsidP="007D035A">
      <w:hyperlink r:id="rId227" w:history="1">
        <w:r w:rsidR="00224D01" w:rsidRPr="000F58B4">
          <w:rPr>
            <w:rStyle w:val="a5"/>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725259" w:rsidP="004062DA">
      <w:hyperlink r:id="rId228" w:history="1">
        <w:r w:rsidR="004062DA" w:rsidRPr="000F58B4">
          <w:rPr>
            <w:rStyle w:val="a5"/>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725259" w:rsidP="007D035A">
      <w:hyperlink r:id="rId229" w:history="1">
        <w:r w:rsidR="00C150CD" w:rsidRPr="000F58B4">
          <w:rPr>
            <w:rStyle w:val="a5"/>
          </w:rPr>
          <w:t>http://projects.ce.berkeley.edu/feap/</w:t>
        </w:r>
      </w:hyperlink>
    </w:p>
    <w:p w14:paraId="615025D9" w14:textId="77777777" w:rsidR="00C150CD" w:rsidRDefault="00C150CD" w:rsidP="007D035A"/>
    <w:p w14:paraId="5AC8D79D" w14:textId="77777777" w:rsidR="003B7C7B" w:rsidRDefault="003B7C7B" w:rsidP="007D035A">
      <w:r>
        <w:rPr>
          <w:rFonts w:hint="eastAsia"/>
        </w:rPr>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725259" w:rsidP="005E564D">
      <w:hyperlink r:id="rId230" w:history="1">
        <w:r w:rsidR="005D0F00">
          <w:rPr>
            <w:rStyle w:val="a5"/>
          </w:rPr>
          <w:t>https://research.nvidia.com/publication/interactive-indirect-illumination-using-voxel-cone-tracing</w:t>
        </w:r>
      </w:hyperlink>
    </w:p>
    <w:p w14:paraId="2F063B53" w14:textId="77777777" w:rsidR="00377484" w:rsidRDefault="00377484" w:rsidP="005E564D"/>
    <w:p w14:paraId="1D1EA06B" w14:textId="470C4BE7" w:rsidR="00377484" w:rsidRDefault="007C2A89" w:rsidP="005E564D">
      <w:r>
        <w:t>//</w:t>
      </w:r>
      <w:r w:rsidRPr="007C2A89">
        <w:t>Ambient Cube</w:t>
      </w:r>
    </w:p>
    <w:p w14:paraId="6F9482C0" w14:textId="79A0EC23" w:rsidR="00B93BDA" w:rsidRDefault="000062FD" w:rsidP="005E564D">
      <w:r>
        <w:t>[</w:t>
      </w:r>
      <w:r w:rsidRPr="004A5D24">
        <w:t xml:space="preserve">Mitchell </w:t>
      </w:r>
      <w:r>
        <w:t xml:space="preserve">2006] </w:t>
      </w:r>
      <w:r w:rsidR="004A5D24" w:rsidRPr="004A5D24">
        <w:t>Jason Mitchell</w:t>
      </w:r>
      <w:r w:rsidR="004A5D24">
        <w:t>,</w:t>
      </w:r>
      <w:r w:rsidR="004A5D24" w:rsidRPr="004A5D24">
        <w:t xml:space="preserve"> Gary McTaggart</w:t>
      </w:r>
      <w:r w:rsidR="004A5D24">
        <w:t>,</w:t>
      </w:r>
      <w:r w:rsidR="004A5D24" w:rsidRPr="004A5D24">
        <w:t xml:space="preserve"> Chris Green</w:t>
      </w:r>
      <w:r w:rsidR="004A5D24">
        <w:t xml:space="preserve">. </w:t>
      </w:r>
      <w:r w:rsidR="00B93BDA">
        <w:t>"</w:t>
      </w:r>
      <w:r w:rsidR="00B93BDA" w:rsidRPr="00B93BDA">
        <w:t>Shading in Valve’s Source Engine</w:t>
      </w:r>
      <w:r w:rsidR="00B93BDA">
        <w:t>." SIGGRAPH 20</w:t>
      </w:r>
      <w:r>
        <w:t>0</w:t>
      </w:r>
      <w:r w:rsidR="00B93BDA">
        <w:t>6.</w:t>
      </w:r>
    </w:p>
    <w:p w14:paraId="3AFCE45D" w14:textId="4DE89B24" w:rsidR="00377484" w:rsidRDefault="00725259" w:rsidP="005E564D">
      <w:hyperlink r:id="rId231" w:history="1">
        <w:r w:rsidR="00B93BDA" w:rsidRPr="00F00E7B">
          <w:rPr>
            <w:rStyle w:val="a5"/>
          </w:rPr>
          <w:t>https://steamcdn-a.akamaihd.net/apps/valve/2006/SIGGRAPH06_Course_ShadingInValvesSourceEngine.pdf</w:t>
        </w:r>
      </w:hyperlink>
    </w:p>
    <w:p w14:paraId="2CE6524E" w14:textId="77777777" w:rsidR="00B93BDA" w:rsidRDefault="00B93BDA" w:rsidP="005E564D"/>
    <w:p w14:paraId="150964F8" w14:textId="77777777" w:rsidR="002B4FC9" w:rsidRDefault="002B4FC9" w:rsidP="005E564D"/>
    <w:p w14:paraId="7C9EC5B8" w14:textId="4D25D6BB" w:rsidR="003F71C9" w:rsidRDefault="000543B6" w:rsidP="000543B6">
      <w:pPr>
        <w:pStyle w:val="2"/>
      </w:pPr>
      <w:r>
        <w:rPr>
          <w:rFonts w:hint="eastAsia"/>
        </w:rPr>
        <w:lastRenderedPageBreak/>
        <w:t>Radiosity Normal Mapping</w:t>
      </w:r>
    </w:p>
    <w:p w14:paraId="27F410B5" w14:textId="77777777" w:rsidR="001F4245" w:rsidRDefault="001F4245" w:rsidP="005E564D"/>
    <w:p w14:paraId="5931C745" w14:textId="35019FD1" w:rsidR="001F4245" w:rsidRDefault="001F4245" w:rsidP="001F4245">
      <w:pPr>
        <w:pStyle w:val="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725259" w:rsidP="005E564D">
      <w:hyperlink r:id="rId232" w:history="1">
        <w:r w:rsidR="002360AA" w:rsidRPr="00853B4D">
          <w:rPr>
            <w:rStyle w:val="a5"/>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725259" w:rsidP="005E564D">
      <w:hyperlink r:id="rId233" w:history="1">
        <w:r w:rsidR="000C08FF" w:rsidRPr="00853B4D">
          <w:rPr>
            <w:rStyle w:val="a5"/>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725259" w:rsidP="005E564D">
      <w:hyperlink r:id="rId234" w:history="1">
        <w:r w:rsidR="000C75A7" w:rsidRPr="00A66D21">
          <w:rPr>
            <w:rStyle w:val="a5"/>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8"/>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725259" w:rsidP="004062DA">
      <w:hyperlink r:id="rId235"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lastRenderedPageBreak/>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lastRenderedPageBreak/>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lastRenderedPageBreak/>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725259" w:rsidP="00065FCB">
      <w:hyperlink r:id="rId236"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725259" w:rsidP="00065FCB">
      <w:hyperlink r:id="rId237"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725259" w:rsidP="00065FCB">
      <w:hyperlink r:id="rId238"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lastRenderedPageBreak/>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725259" w:rsidP="00540AD4">
      <w:hyperlink r:id="rId239"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725259" w:rsidP="00540AD4">
      <w:hyperlink r:id="rId240"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725259" w:rsidP="00540AD4">
      <w:hyperlink r:id="rId241"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725259" w:rsidP="00540AD4">
      <w:hyperlink r:id="rId242"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725259" w:rsidP="00540AD4">
      <w:hyperlink r:id="rId243" w:history="1">
        <w:r w:rsidR="000B0670" w:rsidRPr="00D87936">
          <w:rPr>
            <w:rStyle w:val="a5"/>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725259" w:rsidP="00540AD4">
      <w:hyperlink r:id="rId244" w:history="1">
        <w:r w:rsidR="0054386A" w:rsidRPr="00D84C1C">
          <w:rPr>
            <w:rStyle w:val="a5"/>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lastRenderedPageBreak/>
        <w:t>APEX Destruction Module</w:t>
      </w:r>
    </w:p>
    <w:p w14:paraId="7323D3BF" w14:textId="00C406E4" w:rsidR="00BD297F" w:rsidRDefault="00725259" w:rsidP="00540AD4">
      <w:hyperlink r:id="rId245" w:history="1">
        <w:r w:rsidR="00BD297F" w:rsidRPr="00D84C1C">
          <w:rPr>
            <w:rStyle w:val="a5"/>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725259" w:rsidP="00540AD4">
      <w:hyperlink r:id="rId246" w:history="1">
        <w:r w:rsidR="00B70443" w:rsidRPr="00B721F0">
          <w:rPr>
            <w:rStyle w:val="a5"/>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725259" w:rsidP="00540AD4">
      <w:hyperlink r:id="rId247" w:history="1">
        <w:r w:rsidR="00EC5066" w:rsidRPr="00D84C1C">
          <w:rPr>
            <w:rStyle w:val="a5"/>
          </w:rPr>
          <w:t>https://pybullet.org/siggraph2011/</w:t>
        </w:r>
      </w:hyperlink>
    </w:p>
    <w:p w14:paraId="61B277D9" w14:textId="77777777" w:rsidR="00EC5066" w:rsidRDefault="00EC5066" w:rsidP="00540AD4"/>
    <w:p w14:paraId="16ACAE47" w14:textId="77777777" w:rsidR="00EC5066" w:rsidRDefault="00EC5066" w:rsidP="00540AD4"/>
    <w:p w14:paraId="5ED368C6" w14:textId="77777777" w:rsidR="00223F12" w:rsidRPr="001B593F" w:rsidRDefault="00223F12"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725259" w:rsidP="006C75F1">
      <w:hyperlink r:id="rId248"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725259" w:rsidP="00B37E78">
      <w:hyperlink r:id="rId249"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725259" w:rsidP="00F02581">
      <w:hyperlink r:id="rId250"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725259" w:rsidP="00077DC8">
      <w:hyperlink r:id="rId251"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lastRenderedPageBreak/>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3"/>
      </w:pPr>
      <w:r w:rsidRPr="00700E80">
        <w:t>Programmatic Capture</w:t>
      </w:r>
    </w:p>
    <w:p w14:paraId="179302BD" w14:textId="39286FF6" w:rsidR="00700E80" w:rsidRDefault="00725259" w:rsidP="00410BC5">
      <w:hyperlink r:id="rId252" w:history="1">
        <w:r w:rsidR="00CC1CEF" w:rsidRPr="00376E1A">
          <w:rPr>
            <w:rStyle w:val="a5"/>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725259" w:rsidP="009A334D">
      <w:hyperlink r:id="rId253"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725259" w:rsidP="005612AC">
      <w:pPr>
        <w:rPr>
          <w:rStyle w:val="a5"/>
        </w:rPr>
      </w:pPr>
      <w:hyperlink r:id="rId254"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725259" w:rsidP="005612AC">
      <w:hyperlink r:id="rId255"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56"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lastRenderedPageBreak/>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725259" w:rsidP="00216AA8">
      <w:pPr>
        <w:rPr>
          <w:rStyle w:val="a5"/>
        </w:rPr>
      </w:pPr>
      <w:hyperlink r:id="rId257"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725259" w:rsidP="00D478E9">
      <w:hyperlink r:id="rId258"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725259" w:rsidP="008F3440">
      <w:hyperlink r:id="rId259"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lastRenderedPageBreak/>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725259" w:rsidP="005032FB">
      <w:hyperlink r:id="rId260"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725259" w:rsidP="005032FB">
      <w:hyperlink r:id="rId261"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725259" w:rsidP="00EE4174">
      <w:hyperlink r:id="rId262"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725259" w:rsidP="00EE4174">
      <w:hyperlink r:id="rId263"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725259" w:rsidP="008B726F">
      <w:hyperlink r:id="rId264"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725259" w:rsidP="008B726F">
      <w:hyperlink r:id="rId265" w:history="1">
        <w:r w:rsidR="00B81BB1" w:rsidRPr="00853B4D">
          <w:rPr>
            <w:rStyle w:val="a5"/>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725259" w:rsidP="008B726F">
      <w:hyperlink r:id="rId266"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725259" w:rsidP="00B955E1">
      <w:hyperlink r:id="rId267"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725259" w:rsidP="00B955E1">
      <w:hyperlink r:id="rId268"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725259" w:rsidP="008B726F">
      <w:hyperlink r:id="rId269"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725259" w:rsidP="00EC315F">
      <w:hyperlink r:id="rId270"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725259" w:rsidP="009D4374">
      <w:hyperlink r:id="rId271"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606E1" w14:textId="77777777" w:rsidR="00582CA7" w:rsidRDefault="00582CA7" w:rsidP="00056F5C">
      <w:r>
        <w:separator/>
      </w:r>
    </w:p>
  </w:endnote>
  <w:endnote w:type="continuationSeparator" w:id="0">
    <w:p w14:paraId="7FA53E1C" w14:textId="77777777" w:rsidR="00582CA7" w:rsidRDefault="00582CA7" w:rsidP="00056F5C">
      <w:r>
        <w:continuationSeparator/>
      </w:r>
    </w:p>
  </w:endnote>
  <w:endnote w:type="continuationNotice" w:id="1">
    <w:p w14:paraId="77278E2C" w14:textId="77777777" w:rsidR="00582CA7" w:rsidRDefault="00582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7BA5C" w14:textId="77777777" w:rsidR="00582CA7" w:rsidRDefault="00582CA7" w:rsidP="00056F5C">
      <w:r>
        <w:separator/>
      </w:r>
    </w:p>
  </w:footnote>
  <w:footnote w:type="continuationSeparator" w:id="0">
    <w:p w14:paraId="5F81263D" w14:textId="77777777" w:rsidR="00582CA7" w:rsidRDefault="00582CA7" w:rsidP="00056F5C">
      <w:r>
        <w:continuationSeparator/>
      </w:r>
    </w:p>
  </w:footnote>
  <w:footnote w:type="continuationNotice" w:id="1">
    <w:p w14:paraId="6553FC38" w14:textId="77777777" w:rsidR="00582CA7" w:rsidRDefault="00582C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AEF"/>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5DCF"/>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A8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1C9"/>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www.pbr-book.org" TargetMode="External"/><Relationship Id="rId268" Type="http://schemas.openxmlformats.org/officeDocument/2006/relationships/hyperlink" Target="http://people.csail.mit.edu/jrk/decoupledsampling/ds.pdf"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181" Type="http://schemas.openxmlformats.org/officeDocument/2006/relationships/image" Target="media/image12.png"/><Relationship Id="rId216" Type="http://schemas.openxmlformats.org/officeDocument/2006/relationships/hyperlink" Target="http://research.tri-ace.com/Data/s2012_beyond_CourseNotes.pdf" TargetMode="External"/><Relationship Id="rId237" Type="http://schemas.openxmlformats.org/officeDocument/2006/relationships/hyperlink" Target="https://gpuopen.com/unlock-the-rasterizer-with-out-of-order-rasterization/\" TargetMode="External"/><Relationship Id="rId258" Type="http://schemas.openxmlformats.org/officeDocument/2006/relationships/hyperlink" Target="http://developer.nvidia.com/content/constant-buffers-without-constant-pain-0"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s://developer.nvidia.com/gpugems/GPUGems2/gpugems2_chapter39.html" TargetMode="External"/><Relationship Id="rId248" Type="http://schemas.openxmlformats.org/officeDocument/2006/relationships/hyperlink" Target="https://developer.nvidia.com/nvidia-flow" TargetMode="External"/><Relationship Id="rId269" Type="http://schemas.openxmlformats.org/officeDocument/2006/relationships/hyperlink" Target="http://www.graphics.stanford.edu/courses/cs448a-01-fall/lectures/lecture9/parallel.2up.pdf"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people.csail.mit.edu/jrk/decoupledsampling/ds.pdf" TargetMode="External"/><Relationship Id="rId259" Type="http://schemas.openxmlformats.org/officeDocument/2006/relationships/hyperlink" Target="https://docs.microsoft.com/en-us/windows/desktop/direct3d12/fence-based-resource-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s://github.com/Novum/vkQuake"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developer.nvidia.com/gpugems/GPUGems3/gpugems3_ch09.html" TargetMode="External"/><Relationship Id="rId249" Type="http://schemas.openxmlformats.org/officeDocument/2006/relationships/hyperlink" Target="https://developer.nvidia.com/research"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mynameismjp.wordpress.com/2016/03/25/bindless-texturing-for-deferred-rendering-and-decals/"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developer.download.nvidia.com/SDK/10.5/direct3d/samples.html" TargetMode="External"/><Relationship Id="rId250" Type="http://schemas.openxmlformats.org/officeDocument/2006/relationships/hyperlink" Target="https://developer.nvidia.com/research" TargetMode="External"/><Relationship Id="rId271" Type="http://schemas.openxmlformats.org/officeDocument/2006/relationships/hyperlink" Target="https://github.com/DustinHLand/vkDOOM3"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projects.ce.berkeley.edu/feap/" TargetMode="External"/><Relationship Id="rId240" Type="http://schemas.openxmlformats.org/officeDocument/2006/relationships/hyperlink" Target="https://developer.nvidia.com/research" TargetMode="External"/><Relationship Id="rId261" Type="http://schemas.openxmlformats.org/officeDocument/2006/relationships/hyperlink" Target="http://developer.nvidia.com/vulkan-shader-resource-binding"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research.nvidia.com/publication/interactive-indirect-illumination-using-voxel-cone-tracing" TargetMode="External"/><Relationship Id="rId251" Type="http://schemas.openxmlformats.org/officeDocument/2006/relationships/hyperlink" Target="https://developer.nvidia.com/flex"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fontTable" Target="fontTable.xm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docs.nvidia.com/gameworks/content/gameworkslibrary/physx/guide/Manual/Cloth.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msdn.microsoft.com/en-us/library/dn859250"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steamcdn-a.akamaihd.net/apps/valve/2006/SIGGRAPH06_Course_ShadingInValvesSourceEngine.pdf" TargetMode="External"/><Relationship Id="rId252" Type="http://schemas.openxmlformats.org/officeDocument/2006/relationships/hyperlink" Target="https://devblogs.microsoft.com/pix/programmatic-capture/" TargetMode="External"/><Relationship Id="rId273" Type="http://schemas.openxmlformats.org/officeDocument/2006/relationships/theme" Target="theme/theme1.xm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s://docs.nvidia.com/gameworks/content/gameworkslibrary/physx/nvCloth/UsersGuide/Index.html" TargetMode="External"/><Relationship Id="rId263" Type="http://schemas.openxmlformats.org/officeDocument/2006/relationships/hyperlink" Target="http://msdn.microsoft.com/en-us/library%20/dn859252"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s://developer.amd.com/wordpress/media/2012/10/Tatarchuk_Irradiance_Volumes.pdf" TargetMode="External"/><Relationship Id="rId253" Type="http://schemas.openxmlformats.org/officeDocument/2006/relationships/hyperlink" Target="http://developer.nvidia.com/dx12-dos-and-donts"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eveloper.nvidia.com/research" TargetMode="External"/><Relationship Id="rId264" Type="http://schemas.openxmlformats.org/officeDocument/2006/relationships/hyperlink" Target="http://developer.nvidia.com/vulkan-memory-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www.shaderx5.com/TOC.html" TargetMode="External"/><Relationship Id="rId254" Type="http://schemas.openxmlformats.org/officeDocument/2006/relationships/hyperlink" Target="https://docs.microsoft.com/en-us/windows/desktop/direct3d9/accurately-profiling-direct3d-api-call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www2.eecs.berkeley.edu/Pubs/TechRpts/1991/CSD-91-643.pdf" TargetMode="External"/><Relationship Id="rId244" Type="http://schemas.openxmlformats.org/officeDocument/2006/relationships/hyperlink" Target="https://developer.nvidia.com/apex-destruction-physxlab-tutorials"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s://research.nvidia.com/publication/2019-02_Throughput-oriented-GPU-memory"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s://developer.nvidia.com/gpugems/GPUGems2/gpugems2_chapter37.html"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gpuopen.com/unlock-the-rasterizer-with-out-of-order-rasterization/"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l.acm.org/citation.cfm?id=154731" TargetMode="External"/><Relationship Id="rId245" Type="http://schemas.openxmlformats.org/officeDocument/2006/relationships/hyperlink" Target="https://docs.nvidia.com/gameworks/content/gameworkslibrary/physx/apexsdk/APEX_Destruction/Destruction_Module.html" TargetMode="External"/><Relationship Id="rId266" Type="http://schemas.openxmlformats.org/officeDocument/2006/relationships/hyperlink" Target="https://developer.nvidia.com/content/life-triangle-nvidias-logical-pipeline"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s://developer.nvidia.com/gpugems/GPUGems2/gpugems2_chapter38.html" TargetMode="External"/><Relationship Id="rId256" Type="http://schemas.openxmlformats.org/officeDocument/2006/relationships/hyperlink" Target="http://research.nvidia.com/publication/phenomenological-scattering-model-order-independent-transparency" TargetMode="Externa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inst.eecs.berkeley.edu/~cs294-13/fa09/lectures/scribe-lecture3.pdf" TargetMode="External"/><Relationship Id="rId246" Type="http://schemas.openxmlformats.org/officeDocument/2006/relationships/hyperlink" Target="https://developer.nvidia.com/destruction" TargetMode="External"/><Relationship Id="rId267" Type="http://schemas.openxmlformats.org/officeDocument/2006/relationships/hyperlink" Target="https://graphics.stanford.edu/papers/pomegranate/pomegranate.pdf"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graphics.stanford.edu/papers/pomegranate/pomegranate.pdf" TargetMode="External"/><Relationship Id="rId257" Type="http://schemas.openxmlformats.org/officeDocument/2006/relationships/hyperlink" Target="https://docs.microsoft.com/en-us/windows/desktop/direct3d11/how-to--use-dynamic-resources"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pybullet.org/siggraph2011/"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60B56-F0DA-4008-98A2-D0CD4B37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216467</TotalTime>
  <Pages>172</Pages>
  <Words>34800</Words>
  <Characters>198365</Characters>
  <Application>Microsoft Office Word</Application>
  <DocSecurity>0</DocSecurity>
  <Lines>1653</Lines>
  <Paragraphs>465</Paragraphs>
  <ScaleCrop>false</ScaleCrop>
  <Company/>
  <LinksUpToDate>false</LinksUpToDate>
  <CharactersWithSpaces>232700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10269</cp:revision>
  <cp:lastPrinted>2019-06-15T17:44:00Z</cp:lastPrinted>
  <dcterms:created xsi:type="dcterms:W3CDTF">2017-11-13T05:33:00Z</dcterms:created>
  <dcterms:modified xsi:type="dcterms:W3CDTF">2019-07-10T09:46:00Z</dcterms:modified>
</cp:coreProperties>
</file>