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w:body>
    <w:p>
      <w:pPr>
        <w:pStyle w:val="Title"/>
      </w:pPr>
      <w:r>
        <w:t>NicheFlow 3.4：面向顶会的三层智能体工作流</w:t>
        <w:br/>
        <w:t>搜索-部署-调度技术方案</w:t>
      </w:r>
    </w:p>
    <w:p>
      <w:pPr>
        <w:pStyle w:val="Subtitle"/>
      </w:pPr>
      <w:r>
        <w:t>算法设计、理论证明、实施计划与评估体系（完整版）</w:t>
      </w:r>
    </w:p>
    <w:p/>
    <w:p>
      <w:pPr>
        <w:jc w:val="center"/>
      </w:pPr>
      <w:r>
        <w:t>文档版本：v3.4</w:t>
      </w:r>
    </w:p>
    <w:p>
      <w:pPr>
        <w:jc w:val="center"/>
      </w:pPr>
      <w:r>
        <w:t>适用读者：计算机专业研究生、顶会审稿人、项目实施团队</w:t>
      </w:r>
    </w:p>
    <w:p>
      <w:pPr>
        <w:jc w:val="center"/>
      </w:pPr>
      <w:r>
        <w:t>配套文档：《附录A：核心算法完整数学证明》（另行交付，本方案不重复展开逐引理证明）</w:t>
      </w:r>
    </w:p>
    <w:p>
      <w:r>
        <w:br w:type="page"/>
      </w:r>
    </w:p>
    <w:p>
      <w:pPr>
        <w:pStyle w:val="TOCHeading"/>
      </w:pPr>
      <w:r>
        <w:t>目录</w:t>
      </w:r>
    </w:p>
    <w:p>
      <w:pPr>
        <w:spacing w:after="80"/>
        <w:ind w:left="0"/>
      </w:pPr>
      <w:r>
        <w:fldChar w:fldCharType="begin"/>
      </w:r>
      <w:r>
        <w:instrText xml:space="preserve"> TOC \o "1-2" \h \z \u </w:instrText>
      </w:r>
      <w:r>
        <w:fldChar w:fldCharType="separate"/>
      </w:r>
      <w:r>
        <w:t>第0章　方案概述与版本说明</w:t>
      </w:r>
    </w:p>
    <w:p>
      <w:pPr>
        <w:spacing w:after="80"/>
        <w:ind w:left="240"/>
      </w:pPr>
      <w:r>
        <w:t>0.1　3.3 → 3.4 核心差异一览表</w:t>
      </w:r>
    </w:p>
    <w:p>
      <w:pPr>
        <w:spacing w:after="80"/>
        <w:ind w:left="240"/>
      </w:pPr>
      <w:r>
        <w:t>0.2　核心修订原则</w:t>
      </w:r>
    </w:p>
    <w:p>
      <w:pPr>
        <w:spacing w:after="80"/>
        <w:ind w:left="0"/>
      </w:pPr>
      <w:r>
        <w:t>第1章　总体评估结论</w:t>
      </w:r>
    </w:p>
    <w:p>
      <w:pPr>
        <w:spacing w:after="80"/>
        <w:ind w:left="240"/>
      </w:pPr>
      <w:r>
        <w:t>1.1　五项评估维度结论</w:t>
      </w:r>
    </w:p>
    <w:p>
      <w:pPr>
        <w:spacing w:after="80"/>
        <w:ind w:left="240"/>
      </w:pPr>
      <w:r>
        <w:t>1.2　核心理论支撑</w:t>
      </w:r>
    </w:p>
    <w:p>
      <w:pPr>
        <w:spacing w:after="80"/>
        <w:ind w:left="240"/>
      </w:pPr>
      <w:r>
        <w:t>1.3　风险与应对概览</w:t>
      </w:r>
    </w:p>
    <w:p>
      <w:pPr>
        <w:spacing w:after="80"/>
        <w:ind w:left="0"/>
      </w:pPr>
      <w:r>
        <w:t>第2章　系统架构总览</w:t>
      </w:r>
    </w:p>
    <w:p>
      <w:pPr>
        <w:spacing w:after="80"/>
        <w:ind w:left="240"/>
      </w:pPr>
      <w:r>
        <w:t>2.1　三层架构与数据流</w:t>
      </w:r>
    </w:p>
    <w:p>
      <w:pPr>
        <w:spacing w:after="80"/>
        <w:ind w:left="240"/>
      </w:pPr>
      <w:r>
        <w:t>2.2　完整输入输出与端到端流程</w:t>
      </w:r>
    </w:p>
    <w:p>
      <w:pPr>
        <w:spacing w:after="80"/>
        <w:ind w:left="0"/>
      </w:pPr>
      <w:r>
        <w:t>第3章　核心算法详细规格</w:t>
      </w:r>
    </w:p>
    <w:p>
      <w:pPr>
        <w:spacing w:after="80"/>
        <w:ind w:left="240"/>
      </w:pPr>
      <w:r>
        <w:t>3.1　外层：CS-DPP-NI（组合睡眠-DPP生态位照明算法）</w:t>
      </w:r>
    </w:p>
    <w:p>
      <w:pPr>
        <w:spacing w:after="80"/>
        <w:ind w:left="240"/>
      </w:pPr>
      <w:r>
        <w:t>3.2　中层：BiG-LinUCB（双目标增长臂集LinUCB，加固版）</w:t>
      </w:r>
    </w:p>
    <w:p>
      <w:pPr>
        <w:spacing w:after="80"/>
        <w:ind w:left="240"/>
      </w:pPr>
      <w:r>
        <w:t>3.3　顶层：CA-SBMS（曲率感知次模老虎机元调度器，加固版）</w:t>
      </w:r>
    </w:p>
    <w:p>
      <w:pPr>
        <w:spacing w:after="80"/>
        <w:ind w:left="240"/>
      </w:pPr>
      <w:r>
        <w:t>3.4　三层复合定理（Triple-Layer Composite Theorem）</w:t>
      </w:r>
    </w:p>
    <w:p>
      <w:pPr>
        <w:spacing w:after="80"/>
        <w:ind w:left="0"/>
      </w:pPr>
      <w:r>
        <w:t>第4章　与现有工作的精确边界（Related Work Positioning）</w:t>
      </w:r>
    </w:p>
    <w:p>
      <w:pPr>
        <w:spacing w:after="80"/>
        <w:ind w:left="240"/>
      </w:pPr>
      <w:r>
        <w:t>4.1　Search 层：生态位选择与多样性</w:t>
      </w:r>
    </w:p>
    <w:p>
      <w:pPr>
        <w:spacing w:after="80"/>
        <w:ind w:left="240"/>
      </w:pPr>
      <w:r>
        <w:t>4.2　Deployment 层：多目标路由与部署</w:t>
      </w:r>
    </w:p>
    <w:p>
      <w:pPr>
        <w:spacing w:after="80"/>
        <w:ind w:left="240"/>
      </w:pPr>
      <w:r>
        <w:t>4.3　Scheduling 层：预算调度与次模优化</w:t>
      </w:r>
    </w:p>
    <w:p>
      <w:pPr>
        <w:spacing w:after="80"/>
        <w:ind w:left="0"/>
      </w:pPr>
      <w:r>
        <w:t>第5章　资源可行性与预算</w:t>
      </w:r>
    </w:p>
    <w:p>
      <w:pPr>
        <w:spacing w:after="80"/>
        <w:ind w:left="240"/>
      </w:pPr>
      <w:r>
        <w:t>5.1　硬件与模型配置</w:t>
      </w:r>
    </w:p>
    <w:p>
      <w:pPr>
        <w:spacing w:after="80"/>
        <w:ind w:left="240"/>
      </w:pPr>
      <w:r>
        <w:t>5.2　计算复杂度分析</w:t>
      </w:r>
    </w:p>
    <w:p>
      <w:pPr>
        <w:spacing w:after="80"/>
        <w:ind w:left="240"/>
      </w:pPr>
      <w:r>
        <w:t>5.3　数据集与实现可行性</w:t>
      </w:r>
    </w:p>
    <w:p>
      <w:pPr>
        <w:spacing w:after="80"/>
        <w:ind w:left="0"/>
      </w:pPr>
      <w:r>
        <w:t>第6章　实验验证与评估设计</w:t>
      </w:r>
    </w:p>
    <w:p>
      <w:pPr>
        <w:spacing w:after="80"/>
        <w:ind w:left="240"/>
      </w:pPr>
      <w:r>
        <w:t>6.1　消融⑨：CS-DPP-NI 组合选择 vs 单臂选择基线</w:t>
      </w:r>
    </w:p>
    <w:p>
      <w:pPr>
        <w:spacing w:after="80"/>
        <w:ind w:left="240"/>
      </w:pPr>
      <w:r>
        <w:t>6.2　消融⑩：在线曲率估计 vs 固定曲率假设</w:t>
      </w:r>
    </w:p>
    <w:p>
      <w:pPr>
        <w:spacing w:after="80"/>
        <w:ind w:left="240"/>
      </w:pPr>
      <w:r>
        <w:t>6.3　沿用的核心实验（①–⑧）</w:t>
      </w:r>
    </w:p>
    <w:p>
      <w:pPr>
        <w:spacing w:after="80"/>
        <w:ind w:left="240"/>
      </w:pPr>
      <w:r>
        <w:t>6.4　评估指标体系汇总</w:t>
      </w:r>
    </w:p>
    <w:p>
      <w:pPr>
        <w:spacing w:after="80"/>
        <w:ind w:left="0"/>
      </w:pPr>
      <w:r>
        <w:t>第7章　实施计划（新增章节）</w:t>
      </w:r>
    </w:p>
    <w:p>
      <w:pPr>
        <w:spacing w:after="80"/>
        <w:ind w:left="0"/>
      </w:pPr>
      <w:r>
        <w:t>第8章　风险评估</w:t>
      </w:r>
    </w:p>
    <w:p>
      <w:pPr>
        <w:spacing w:after="80"/>
        <w:ind w:left="240"/>
      </w:pPr>
      <w:r>
        <w:t>8.1　已识别风险与应对</w:t>
      </w:r>
    </w:p>
    <w:p>
      <w:pPr>
        <w:spacing w:after="80"/>
        <w:ind w:left="0"/>
      </w:pPr>
      <w:r>
        <w:t>第9章　参考文献</w:t>
      </w:r>
    </w:p>
    <w:p>
      <w:pPr>
        <w:spacing w:after="80"/>
        <w:ind w:left="0"/>
      </w:pPr>
      <w:r>
        <w:t>附录说明</w:t>
      </w:r>
      <w:r>
        <w:fldChar w:fldCharType="end"/>
      </w:r>
    </w:p>
    <w:p>
      <w:r>
        <w:br w:type="page"/>
      </w:r>
    </w:p>
    <w:p>
      <w:pPr>
        <w:pStyle w:val="Heading1"/>
      </w:pPr>
      <w:r>
        <w:t>第0章　方案概述与版本说明</w:t>
      </w:r>
    </w:p>
    <w:p>
      <w:r>
        <w:t>本方案是在 NicheFlow 3.3 版本基础上的实质性修订版本（3.4），核心动机是应对顶级人工智能会议（NeurIPS、ICML、ICLR 等）审稿人关于“与现有工作原创性重叠”的潜在质疑。3.4 版本在不改变三层宏观架构（外层搜索、中层部署、顶层调度）的前提下，将每一层的建模粒度从“点对点”假设（如单臂选择、已知曲率、静态臂集）升级为“结构化/在线化”假设（如组合子集选择、在线曲率估计、动态增长臂集），从而在理论上产生新的非平凡遗憾界或修正项，并通过“三层复合定理”证明三层耦合的必要性，回应“系统仅是零散部件堆砌”的质疑。</w:t>
      </w:r>
    </w:p>
    <w:p>
      <w:pPr>
        <w:pStyle w:val="Heading2"/>
      </w:pPr>
      <w:r>
        <w:t>0.1　3.3 → 3.4 核心差异一览表</w:t>
      </w:r>
    </w:p>
    <w:tbl>
      <w:tblPr>
        <w:tblStyle w:val="TableGrid"/>
        <w:tblW w:w="8928" w:type="dxa"/>
        <w:tblLayout w:type="fixed"/>
        <w:tblLook w:val="04A0" w:firstRow="1" w:lastRow="0" w:firstColumn="1" w:lastColumn="0" w:noHBand="0" w:noVBand="1"/>
      </w:tblPr>
      <w:tblGrid>
        <w:gridCol w:w="1296"/>
        <w:gridCol w:w="2304"/>
        <w:gridCol w:w="2304"/>
        <w:gridCol w:w="3024"/>
      </w:tblGrid>
      <w:tr>
        <w:trPr>
          <w:tblHeader/>
        </w:trPr>
        <w:tc>
          <w:tcPr>
            <w:tcW w:w="1296" w:type="dxa"/>
            <w:shd w:val="clear" w:color="auto" w:fill="F2F2F2"/>
          </w:tcPr>
          <w:p>
            <w:pPr>
              <w:spacing w:after="0"/>
            </w:pPr>
            <w:r>
              <w:rPr>
                <w:b/>
                <w:bCs/>
              </w:rPr>
              <w:t>层级/组件</w:t>
            </w:r>
          </w:p>
        </w:tc>
        <w:tc>
          <w:tcPr>
            <w:tcW w:w="2304" w:type="dxa"/>
            <w:shd w:val="clear" w:color="auto" w:fill="F2F2F2"/>
          </w:tcPr>
          <w:p>
            <w:pPr>
              <w:spacing w:after="0"/>
            </w:pPr>
            <w:r>
              <w:rPr>
                <w:b/>
                <w:bCs/>
              </w:rPr>
              <w:t>3.3 版本原始做法</w:t>
            </w:r>
          </w:p>
        </w:tc>
        <w:tc>
          <w:tcPr>
            <w:tcW w:w="2304" w:type="dxa"/>
            <w:shd w:val="clear" w:color="auto" w:fill="F2F2F2"/>
          </w:tcPr>
          <w:p>
            <w:pPr>
              <w:spacing w:after="0"/>
            </w:pPr>
            <w:r>
              <w:rPr>
                <w:b/>
                <w:bCs/>
              </w:rPr>
              <w:t>审稿人可能质疑</w:t>
            </w:r>
          </w:p>
        </w:tc>
        <w:tc>
          <w:tcPr>
            <w:tcW w:w="3024" w:type="dxa"/>
            <w:shd w:val="clear" w:color="auto" w:fill="F2F2F2"/>
          </w:tcPr>
          <w:p>
            <w:pPr>
              <w:spacing w:after="0"/>
            </w:pPr>
            <w:r>
              <w:rPr>
                <w:b/>
                <w:bCs/>
              </w:rPr>
              <w:t>3.4 加固方案</w:t>
            </w:r>
          </w:p>
        </w:tc>
      </w:tr>
      <w:tr>
        <w:tc>
          <w:tcPr>
            <w:tcW w:w="1296" w:type="dxa"/>
          </w:tcPr>
          <w:p>
            <w:pPr>
              <w:spacing w:after="0"/>
            </w:pPr>
            <w:r>
              <w:t>外层搜索</w:t>
            </w:r>
          </w:p>
        </w:tc>
        <w:tc>
          <w:tcPr>
            <w:tcW w:w="2304" w:type="dxa"/>
          </w:tcPr>
          <w:p>
            <w:pPr>
              <w:spacing w:after="0"/>
            </w:pPr>
            <w:r>
              <w:t>将 niche 选择建模为单臂 sleeping bandit，逐个 niche 计算 UCB 后经 DPP 采样得到子集</w:t>
            </w:r>
          </w:p>
        </w:tc>
        <w:tc>
          <w:tcPr>
            <w:tcW w:w="2304" w:type="dxa"/>
          </w:tcPr>
          <w:p>
            <w:pPr>
              <w:spacing w:after="0"/>
            </w:pPr>
            <w:r>
              <w:t>与 Sfikas et al. (2021) 在“用 bandit 建模 QD 父代/niche 选择”这一核心思路上高度重叠</w:t>
            </w:r>
          </w:p>
        </w:tc>
        <w:tc>
          <w:tcPr>
            <w:tcW w:w="3024" w:type="dxa"/>
          </w:tcPr>
          <w:p>
            <w:pPr>
              <w:spacing w:after="0"/>
            </w:pPr>
            <w:r>
              <w:t>升级为 CS-DPP-NI：显式组合子集选择（Combinatorial Sleeping Semi-Bandit），选择过程为次模贪心算法，遗憾界从单臂 UCB1 升级为 CUCB 框架下的组合语义遗憾界，原创性定位在“组合遗憾界 + ACSR 抗坍缩正则化的次模多样性目标”</w:t>
            </w:r>
          </w:p>
        </w:tc>
      </w:tr>
      <w:tr>
        <w:tc>
          <w:tcPr>
            <w:tcW w:w="1296" w:type="dxa"/>
          </w:tcPr>
          <w:p>
            <w:pPr>
              <w:spacing w:after="0"/>
            </w:pPr>
            <w:r>
              <w:t>中层部署</w:t>
            </w:r>
          </w:p>
        </w:tc>
        <w:tc>
          <w:tcPr>
            <w:tcW w:w="2304" w:type="dxa"/>
          </w:tcPr>
          <w:p>
            <w:pPr>
              <w:spacing w:after="0"/>
            </w:pPr>
            <w:r>
              <w:t>BiG-LinUCB：双头线性模型（质量/成本）+ OFUL 置信椭球 + Chebyshev 标量化，动作集随搜索进程动态增长</w:t>
            </w:r>
          </w:p>
        </w:tc>
        <w:tc>
          <w:tcPr>
            <w:tcW w:w="2304" w:type="dxa"/>
          </w:tcPr>
          <w:p>
            <w:pPr>
              <w:spacing w:after="0"/>
            </w:pPr>
            <w:r>
              <w:t>“Pareto-Regret”分析对象与 Xu et al. (2023) 的问题名称相近，易被误认为概念重复</w:t>
            </w:r>
          </w:p>
        </w:tc>
        <w:tc>
          <w:tcPr>
            <w:tcW w:w="3024" w:type="dxa"/>
          </w:tcPr>
          <w:p>
            <w:pPr>
              <w:spacing w:after="0"/>
            </w:pPr>
            <w:r>
              <w:t>明确结构性边界：现有工作处理无上下文、静态臂集，本文处理有线性上下文结构且臂集动态增长的场景，遗憾界显式包含新臂修正项 Σ Δ_epoch，是对 Pareto-MOMAB 框架的结构性扩展</w:t>
            </w:r>
          </w:p>
        </w:tc>
      </w:tr>
      <w:tr>
        <w:tc>
          <w:tcPr>
            <w:tcW w:w="1296" w:type="dxa"/>
          </w:tcPr>
          <w:p>
            <w:pPr>
              <w:spacing w:after="0"/>
            </w:pPr>
            <w:r>
              <w:t>顶层调度</w:t>
            </w:r>
          </w:p>
        </w:tc>
        <w:tc>
          <w:tcPr>
            <w:tcW w:w="2304" w:type="dxa"/>
          </w:tcPr>
          <w:p>
            <w:pPr>
              <w:spacing w:after="0"/>
            </w:pPr>
            <w:r>
              <w:t>CA-SBMS：假设可利用总曲率 γ 得到近似比，套用无结构 UCB1 或直接套用 Chen et al. (2025) 的线性次模老虎机框架</w:t>
            </w:r>
          </w:p>
        </w:tc>
        <w:tc>
          <w:tcPr>
            <w:tcW w:w="2304" w:type="dxa"/>
          </w:tcPr>
          <w:p>
            <w:pPr>
              <w:spacing w:after="0"/>
            </w:pPr>
            <w:r>
              <w:t>Vondrák (2010) 的公式是离线已知曲率场景；Chen et al. (2025) 是纯探索设定，与本文在线遗憾最小化调度设定不一致，存在“张冠李戴”风险</w:t>
            </w:r>
          </w:p>
        </w:tc>
        <w:tc>
          <w:tcPr>
            <w:tcW w:w="3024" w:type="dxa"/>
          </w:tcPr>
          <w:p>
            <w:pPr>
              <w:spacing w:after="0"/>
            </w:pPr>
            <w:r>
              <w:t>新增在线曲率估计器 γ̂_t，给出其与真实曲率偏差的高概率集中界，将近似比保证扩展至“在线未知曲率、仅有带噪声反馈”场景，并增加估计不稳定时的回退机制</w:t>
            </w:r>
          </w:p>
        </w:tc>
      </w:tr>
      <w:tr>
        <w:tc>
          <w:tcPr>
            <w:tcW w:w="1296" w:type="dxa"/>
          </w:tcPr>
          <w:p>
            <w:pPr>
              <w:spacing w:after="0"/>
            </w:pPr>
            <w:r>
              <w:t>整体理论骨架</w:t>
            </w:r>
          </w:p>
        </w:tc>
        <w:tc>
          <w:tcPr>
            <w:tcW w:w="2304" w:type="dxa"/>
          </w:tcPr>
          <w:p>
            <w:pPr>
              <w:spacing w:after="0"/>
            </w:pPr>
            <w:r>
              <w:t>双层复合定理：证明外层、内层、顶层三个理论保证的组合是必要的</w:t>
            </w:r>
          </w:p>
        </w:tc>
        <w:tc>
          <w:tcPr>
            <w:tcW w:w="2304" w:type="dxa"/>
          </w:tcPr>
          <w:p>
            <w:pPr>
              <w:spacing w:after="0"/>
            </w:pPr>
            <w:r>
              <w:t>证明结构本身合理，但缺乏对“组合创新”与“拼接式创新”界限的正面说明</w:t>
            </w:r>
          </w:p>
        </w:tc>
        <w:tc>
          <w:tcPr>
            <w:tcW w:w="3024" w:type="dxa"/>
          </w:tcPr>
          <w:p>
            <w:pPr>
              <w:spacing w:after="0"/>
            </w:pPr>
            <w:r>
              <w:t>更新为三层复合定理：在必要性论证基础上，重新代入每一层升级后的遗憾界/近似比，并在文献边界表中逐层列出技术区分点，作为“原创性声明”的直接证据</w:t>
            </w:r>
          </w:p>
        </w:tc>
      </w:tr>
    </w:tbl>
    <w:p/>
    <w:p>
      <w:pPr>
        <w:pStyle w:val="Heading2"/>
      </w:pPr>
      <w:r>
        <w:t>0.2　核心修订原则</w:t>
      </w:r>
    </w:p>
    <w:p>
      <w:pPr>
        <w:pStyle w:val="ListParagraph"/>
        <w:numPr>
          <w:ilvl w:val="0"/>
          <w:numId w:val="1"/>
        </w:numPr>
      </w:pPr>
      <w:r>
        <w:t>保持架构连续性：不改变三层宏观架构（外层搜索、中层部署、顶层调度）。</w:t>
      </w:r>
    </w:p>
    <w:p>
      <w:pPr>
        <w:pStyle w:val="ListParagraph"/>
        <w:numPr>
          <w:ilvl w:val="0"/>
          <w:numId w:val="1"/>
        </w:numPr>
      </w:pPr>
      <w:r>
        <w:t>建模粒度升级：将“点对点”建模替换为“结构化/在线化”建模，从而产生新的非平凡遗憾界或修正项。</w:t>
      </w:r>
    </w:p>
    <w:p>
      <w:pPr>
        <w:pStyle w:val="ListParagraph"/>
        <w:numPr>
          <w:ilvl w:val="0"/>
          <w:numId w:val="1"/>
        </w:numPr>
      </w:pPr>
      <w:r>
        <w:t>精确界定边界：在文中明确现有工作的设定，并指出本文的结构性不同，以防止审稿人误判为“重新发明轮子”。</w:t>
      </w:r>
    </w:p>
    <w:p>
      <w:r>
        <w:br w:type="page"/>
      </w:r>
    </w:p>
    <w:p>
      <w:pPr>
        <w:pStyle w:val="Heading1"/>
      </w:pPr>
      <w:r>
        <w:t>第1章　总体评估结论</w:t>
      </w:r>
    </w:p>
    <w:p>
      <w:r>
        <w:t>本章基于原技术报告第1章内容，对 NicheFlow 3.4 在五项关键维度上的达标情况进行总体判定，并概述核心理论支撑与风险应对框架，作为后续各章详细展开的总纲。</w:t>
      </w:r>
    </w:p>
    <w:p>
      <w:pPr>
        <w:pStyle w:val="Heading2"/>
      </w:pPr>
      <w:r>
        <w:t>1.1　五项评估维度结论</w:t>
      </w:r>
    </w:p>
    <w:tbl>
      <w:tblPr>
        <w:tblStyle w:val="TableGrid"/>
        <w:tblW w:w="8928" w:type="dxa"/>
        <w:tblLayout w:type="fixed"/>
        <w:tblLook w:val="04A0" w:firstRow="1" w:lastRow="0" w:firstColumn="1" w:lastColumn="0" w:noHBand="0" w:noVBand="1"/>
      </w:tblPr>
      <w:tblGrid>
        <w:gridCol w:w="2016"/>
        <w:gridCol w:w="1584"/>
        <w:gridCol w:w="5328"/>
      </w:tblGrid>
      <w:tr>
        <w:trPr>
          <w:tblHeader/>
        </w:trPr>
        <w:tc>
          <w:tcPr>
            <w:tcW w:w="2016" w:type="dxa"/>
            <w:shd w:val="clear" w:color="auto" w:fill="F2F2F2"/>
          </w:tcPr>
          <w:p>
            <w:pPr>
              <w:spacing w:after="0"/>
            </w:pPr>
            <w:r>
              <w:rPr>
                <w:b/>
                <w:bCs/>
              </w:rPr>
              <w:t>评估维度</w:t>
            </w:r>
          </w:p>
        </w:tc>
        <w:tc>
          <w:tcPr>
            <w:tcW w:w="1584" w:type="dxa"/>
            <w:shd w:val="clear" w:color="auto" w:fill="F2F2F2"/>
          </w:tcPr>
          <w:p>
            <w:pPr>
              <w:spacing w:after="0"/>
            </w:pPr>
            <w:r>
              <w:rPr>
                <w:b/>
                <w:bCs/>
              </w:rPr>
              <w:t>结论</w:t>
            </w:r>
          </w:p>
        </w:tc>
        <w:tc>
          <w:tcPr>
            <w:tcW w:w="5328" w:type="dxa"/>
            <w:shd w:val="clear" w:color="auto" w:fill="F2F2F2"/>
          </w:tcPr>
          <w:p>
            <w:pPr>
              <w:spacing w:after="0"/>
            </w:pPr>
            <w:r>
              <w:rPr>
                <w:b/>
                <w:bCs/>
              </w:rPr>
              <w:t>依据</w:t>
            </w:r>
          </w:p>
        </w:tc>
      </w:tr>
      <w:tr>
        <w:tc>
          <w:tcPr>
            <w:tcW w:w="2016" w:type="dxa"/>
          </w:tcPr>
          <w:p>
            <w:pPr>
              <w:spacing w:after="0"/>
            </w:pPr>
            <w:r>
              <w:t>顶会标准匹配度</w:t>
            </w:r>
          </w:p>
        </w:tc>
        <w:tc>
          <w:tcPr>
            <w:tcW w:w="1584" w:type="dxa"/>
          </w:tcPr>
          <w:p>
            <w:pPr>
              <w:spacing w:after="0"/>
            </w:pPr>
            <w:r>
              <w:t>达标</w:t>
            </w:r>
          </w:p>
        </w:tc>
        <w:tc>
          <w:tcPr>
            <w:tcW w:w="5328" w:type="dxa"/>
          </w:tcPr>
          <w:p>
            <w:pPr>
              <w:spacing w:after="0"/>
            </w:pPr>
            <w:r>
              <w:t>具备完整的问题形式化（组合遗憾、Pareto 遗憾、曲率感知近似比）、算法伪代码、定理证明思路及文献边界表，通过精确定位原创性，避免被识别为过度宣称</w:t>
            </w:r>
          </w:p>
        </w:tc>
      </w:tr>
      <w:tr>
        <w:tc>
          <w:tcPr>
            <w:tcW w:w="2016" w:type="dxa"/>
          </w:tcPr>
          <w:p>
            <w:pPr>
              <w:spacing w:after="0"/>
            </w:pPr>
            <w:r>
              <w:t>现有数据集实现可行性</w:t>
            </w:r>
          </w:p>
        </w:tc>
        <w:tc>
          <w:tcPr>
            <w:tcW w:w="1584" w:type="dxa"/>
          </w:tcPr>
          <w:p>
            <w:pPr>
              <w:spacing w:after="0"/>
            </w:pPr>
            <w:r>
              <w:t>达标</w:t>
            </w:r>
          </w:p>
        </w:tc>
        <w:tc>
          <w:tcPr>
            <w:tcW w:w="5328" w:type="dxa"/>
          </w:tcPr>
          <w:p>
            <w:pPr>
              <w:spacing w:after="0"/>
            </w:pPr>
            <w:r>
              <w:t>沿用 10 个公开 benchmark（如 HumanEval、GSM8K、MMLU-Pro 等），无需新增数据采集；新增组件均为轻量级 CPU 运算</w:t>
            </w:r>
          </w:p>
        </w:tc>
      </w:tr>
      <w:tr>
        <w:tc>
          <w:tcPr>
            <w:tcW w:w="2016" w:type="dxa"/>
          </w:tcPr>
          <w:p>
            <w:pPr>
              <w:spacing w:after="0"/>
            </w:pPr>
            <w:r>
              <w:t>研究生可理解性</w:t>
            </w:r>
          </w:p>
        </w:tc>
        <w:tc>
          <w:tcPr>
            <w:tcW w:w="1584" w:type="dxa"/>
          </w:tcPr>
          <w:p>
            <w:pPr>
              <w:spacing w:after="0"/>
            </w:pPr>
            <w:r>
              <w:t>达标</w:t>
            </w:r>
          </w:p>
        </w:tc>
        <w:tc>
          <w:tcPr>
            <w:tcW w:w="5328" w:type="dxa"/>
          </w:tcPr>
          <w:p>
            <w:pPr>
              <w:spacing w:after="0"/>
            </w:pPr>
            <w:r>
              <w:t>所使用的数学工具（CUCB 框架、Gershgorin 圆盘定理、Hoeffding 不等式等）属于组合优化与在线学习研究生课程的标准延伸内容</w:t>
            </w:r>
          </w:p>
        </w:tc>
      </w:tr>
      <w:tr>
        <w:tc>
          <w:tcPr>
            <w:tcW w:w="2016" w:type="dxa"/>
          </w:tcPr>
          <w:p>
            <w:pPr>
              <w:spacing w:after="0"/>
            </w:pPr>
            <w:r>
              <w:t>资源可行性</w:t>
            </w:r>
          </w:p>
        </w:tc>
        <w:tc>
          <w:tcPr>
            <w:tcW w:w="1584" w:type="dxa"/>
          </w:tcPr>
          <w:p>
            <w:pPr>
              <w:spacing w:after="0"/>
            </w:pPr>
            <w:r>
              <w:t>达标</w:t>
            </w:r>
          </w:p>
        </w:tc>
        <w:tc>
          <w:tcPr>
            <w:tcW w:w="5328" w:type="dxa"/>
          </w:tcPr>
          <w:p>
            <w:pPr>
              <w:spacing w:after="0"/>
            </w:pPr>
            <w:r>
              <w:t>硬件仅需单张 NVIDIA RTX 4090，API 预算维持在 $140–$200；新增的在线曲率估计器为纯 CPU 端增量计算，不引入额外 GPU 开销</w:t>
            </w:r>
          </w:p>
        </w:tc>
      </w:tr>
      <w:tr>
        <w:tc>
          <w:tcPr>
            <w:tcW w:w="2016" w:type="dxa"/>
          </w:tcPr>
          <w:p>
            <w:pPr>
              <w:spacing w:after="0"/>
            </w:pPr>
            <w:r>
              <w:t>创新性与原创性</w:t>
            </w:r>
          </w:p>
        </w:tc>
        <w:tc>
          <w:tcPr>
            <w:tcW w:w="1584" w:type="dxa"/>
          </w:tcPr>
          <w:p>
            <w:pPr>
              <w:spacing w:after="0"/>
            </w:pPr>
            <w:r>
              <w:t>达标（中等偏正面）</w:t>
            </w:r>
          </w:p>
        </w:tc>
        <w:tc>
          <w:tcPr>
            <w:tcW w:w="5328" w:type="dxa"/>
          </w:tcPr>
          <w:p>
            <w:pPr>
              <w:spacing w:after="0"/>
            </w:pPr>
            <w:r>
              <w:t>通过“结构性扩展 + 精确文献边界界定”加固三处核心设计（CS-DPP-NI、BiG-LinUCB、CA-SBMS），并通过“三层复合定理”证明整体架构的必要性</w:t>
            </w:r>
          </w:p>
        </w:tc>
      </w:tr>
    </w:tbl>
    <w:p/>
    <w:p>
      <w:pPr>
        <w:pStyle w:val="Heading2"/>
      </w:pPr>
      <w:r>
        <w:t>1.2　核心理论支撑</w:t>
      </w:r>
    </w:p>
    <w:p>
      <w:r>
        <w:t>本版本的核心理论支撑是三层复合定理（Triple-Layer Composite Theorem）。该定理通过整合以下三个加固后的子保证，证明了三层耦合作为一个整体的必要性：</w:t>
      </w:r>
    </w:p>
    <w:p>
      <w:pPr>
        <w:pStyle w:val="ListParagraph"/>
        <w:numPr>
          <w:ilvl w:val="0"/>
          <w:numId w:val="2"/>
        </w:numPr>
      </w:pPr>
      <w:r>
        <w:t>外层：组合 QD-Regret 界（定理 1）。</w:t>
      </w:r>
    </w:p>
    <w:p>
      <w:pPr>
        <w:pStyle w:val="ListParagraph"/>
        <w:numPr>
          <w:ilvl w:val="0"/>
          <w:numId w:val="2"/>
        </w:numPr>
      </w:pPr>
      <w:r>
        <w:t>中层：增长臂集 Pareto-遗憾界（定理 2）。</w:t>
      </w:r>
    </w:p>
    <w:p>
      <w:pPr>
        <w:pStyle w:val="ListParagraph"/>
        <w:numPr>
          <w:ilvl w:val="0"/>
          <w:numId w:val="2"/>
        </w:numPr>
      </w:pPr>
      <w:r>
        <w:t>顶层：在线曲率自适应近似比保证（命题 3）。</w:t>
      </w:r>
    </w:p>
    <w:p>
      <w:r>
        <w:t>结论：若去除任一层，端到端效用损失不等式将退化为平凡界或不再良定义，这是回应“架构是否仅为简单拼接”质疑的核心论据（详见第 3.4 节与附录 A.6）。</w:t>
      </w:r>
    </w:p>
    <w:p>
      <w:pPr>
        <w:pStyle w:val="Heading2"/>
      </w:pPr>
      <w:r>
        <w:t>1.3　风险与应对概览</w:t>
      </w:r>
    </w:p>
    <w:tbl>
      <w:tblPr>
        <w:tblStyle w:val="TableGrid"/>
        <w:tblW w:w="8928" w:type="dxa"/>
        <w:tblLayout w:type="fixed"/>
        <w:tblLook w:val="04A0" w:firstRow="1" w:lastRow="0" w:firstColumn="1" w:lastColumn="0" w:noHBand="0" w:noVBand="1"/>
      </w:tblPr>
      <w:tblGrid>
        <w:gridCol w:w="2016"/>
        <w:gridCol w:w="3456"/>
        <w:gridCol w:w="3456"/>
      </w:tblGrid>
      <w:tr>
        <w:trPr>
          <w:tblHeader/>
        </w:trPr>
        <w:tc>
          <w:tcPr>
            <w:tcW w:w="2016" w:type="dxa"/>
            <w:shd w:val="clear" w:color="auto" w:fill="F2F2F2"/>
          </w:tcPr>
          <w:p>
            <w:pPr>
              <w:spacing w:after="0"/>
            </w:pPr>
            <w:r>
              <w:rPr>
                <w:b/>
                <w:bCs/>
              </w:rPr>
              <w:t>风险点</w:t>
            </w:r>
          </w:p>
        </w:tc>
        <w:tc>
          <w:tcPr>
            <w:tcW w:w="3456" w:type="dxa"/>
            <w:shd w:val="clear" w:color="auto" w:fill="F2F2F2"/>
          </w:tcPr>
          <w:p>
            <w:pPr>
              <w:spacing w:after="0"/>
            </w:pPr>
            <w:r>
              <w:rPr>
                <w:b/>
                <w:bCs/>
              </w:rPr>
              <w:t>触发条件</w:t>
            </w:r>
          </w:p>
        </w:tc>
        <w:tc>
          <w:tcPr>
            <w:tcW w:w="3456" w:type="dxa"/>
            <w:shd w:val="clear" w:color="auto" w:fill="F2F2F2"/>
          </w:tcPr>
          <w:p>
            <w:pPr>
              <w:spacing w:after="0"/>
            </w:pPr>
            <w:r>
              <w:rPr>
                <w:b/>
                <w:bCs/>
              </w:rPr>
              <w:t>应对机制</w:t>
            </w:r>
          </w:p>
        </w:tc>
      </w:tr>
      <w:tr>
        <w:tc>
          <w:tcPr>
            <w:tcW w:w="2016" w:type="dxa"/>
          </w:tcPr>
          <w:p>
            <w:pPr>
              <w:spacing w:after="0"/>
            </w:pPr>
            <w:r>
              <w:t>在线曲率估计风险</w:t>
            </w:r>
          </w:p>
        </w:tc>
        <w:tc>
          <w:tcPr>
            <w:tcW w:w="3456" w:type="dxa"/>
          </w:tcPr>
          <w:p>
            <w:pPr>
              <w:spacing w:after="0"/>
            </w:pPr>
            <w:r>
              <w:t>观测样本不足或效用增量函数剧烈漂移，导致置信半径过宽</w:t>
            </w:r>
          </w:p>
        </w:tc>
        <w:tc>
          <w:tcPr>
            <w:tcW w:w="3456" w:type="dxa"/>
          </w:tcPr>
          <w:p>
            <w:pPr>
              <w:spacing w:after="0"/>
            </w:pPr>
            <w:r>
              <w:t>设有显式回退机制，在不稳定时向经典 (1-1/e) 近似比保证回退（详见 3.3 节、8.1 节）</w:t>
            </w:r>
          </w:p>
        </w:tc>
      </w:tr>
      <w:tr>
        <w:tc>
          <w:tcPr>
            <w:tcW w:w="2016" w:type="dxa"/>
          </w:tcPr>
          <w:p>
            <w:pPr>
              <w:spacing w:after="0"/>
            </w:pPr>
            <w:r>
              <w:t>组合子集选择风险</w:t>
            </w:r>
          </w:p>
        </w:tc>
        <w:tc>
          <w:tcPr>
            <w:tcW w:w="3456" w:type="dxa"/>
          </w:tcPr>
          <w:p>
            <w:pPr>
              <w:spacing w:after="0"/>
            </w:pPr>
            <w:r>
              <w:t>候选池规模较大时可能存在语义臂爆炸</w:t>
            </w:r>
          </w:p>
        </w:tc>
        <w:tc>
          <w:tcPr>
            <w:tcW w:w="3456" w:type="dxa"/>
          </w:tcPr>
          <w:p>
            <w:pPr>
              <w:spacing w:after="0"/>
            </w:pPr>
            <w:r>
              <w:t>设有显式的 ACSR 密度过滤 + 剪枝机制，将候选池收缩后再执行贪心选择（详见 3.1 节、8.1 节）</w:t>
            </w:r>
          </w:p>
        </w:tc>
      </w:tr>
    </w:tbl>
    <w:p/>
    <w:p>
      <w:r>
        <w:br w:type="page"/>
      </w:r>
    </w:p>
    <w:p>
      <w:pPr>
        <w:pStyle w:val="Heading1"/>
      </w:pPr>
      <w:r>
        <w:t>第2章　系统架构总览</w:t>
      </w:r>
    </w:p>
    <w:p>
      <w:pPr>
        <w:pStyle w:val="Heading2"/>
      </w:pPr>
      <w:r>
        <w:t>2.1　三层架构与数据流</w:t>
      </w:r>
    </w:p>
    <w:p>
      <w:r>
        <w:t>NicheFlow 3.4 的系统架构由外层、中层和顶层三个核心层组成，通过统一的 Bandit/在线学习理论骨架耦合：</w:t>
      </w:r>
    </w:p>
    <w:p>
      <w:pPr>
        <w:pStyle w:val="ListParagraph"/>
        <w:numPr>
          <w:ilvl w:val="0"/>
          <w:numId w:val="3"/>
        </w:numPr>
      </w:pPr>
      <w:r>
        <w:rPr>
          <w:b/>
          <w:bCs/>
        </w:rPr>
        <w:t>外层（Search / CS-DPP-NI）：</w:t>
      </w:r>
      <w:r>
        <w:t>组合睡眠-DPP 生态位照明算法。在行为生态位空间（100 个 niche）上运行，负责搜索并产生新的候选工作流。</w:t>
      </w:r>
    </w:p>
    <w:p>
      <w:pPr>
        <w:pStyle w:val="ListParagraph"/>
        <w:numPr>
          <w:ilvl w:val="0"/>
          <w:numId w:val="3"/>
        </w:numPr>
      </w:pPr>
      <w:r>
        <w:rPr>
          <w:b/>
          <w:bCs/>
        </w:rPr>
        <w:t>中层（Deployment / BiG-LinUCB）：</w:t>
      </w:r>
      <w:r>
        <w:t>双目标增长臂集线性上置信界算法。维护一个动态增长的“精英”工作流臂集，负责对输入查询进行实际的路由决策。</w:t>
      </w:r>
    </w:p>
    <w:p>
      <w:pPr>
        <w:pStyle w:val="ListParagraph"/>
        <w:numPr>
          <w:ilvl w:val="0"/>
          <w:numId w:val="3"/>
        </w:numPr>
      </w:pPr>
      <w:r>
        <w:rPr>
          <w:b/>
          <w:bCs/>
        </w:rPr>
        <w:t>顶层（Scheduling / CA-SBMS）：</w:t>
      </w:r>
      <w:r>
        <w:t>曲率感知次模老虎机元调度器。负责在全局预算范围内动态分配“搜索”与“部署”的比例。</w:t>
      </w:r>
    </w:p>
    <w:p>
      <w:pPr>
        <w:pStyle w:val="Heading3"/>
      </w:pPr>
      <w:r>
        <w:t>2.1.1　层间数据传递关系</w:t>
      </w:r>
    </w:p>
    <w:tbl>
      <w:tblPr>
        <w:tblStyle w:val="TableGrid"/>
        <w:tblW w:w="8928" w:type="dxa"/>
        <w:tblLayout w:type="fixed"/>
        <w:tblLook w:val="04A0" w:firstRow="1" w:lastRow="0" w:firstColumn="1" w:lastColumn="0" w:noHBand="0" w:noVBand="1"/>
      </w:tblPr>
      <w:tblGrid>
        <w:gridCol w:w="2016"/>
        <w:gridCol w:w="3456"/>
        <w:gridCol w:w="3456"/>
      </w:tblGrid>
      <w:tr>
        <w:trPr>
          <w:tblHeader/>
        </w:trPr>
        <w:tc>
          <w:tcPr>
            <w:tcW w:w="2016" w:type="dxa"/>
            <w:shd w:val="clear" w:color="auto" w:fill="F2F2F2"/>
          </w:tcPr>
          <w:p>
            <w:pPr>
              <w:spacing w:after="0"/>
            </w:pPr>
            <w:r>
              <w:rPr>
                <w:b/>
                <w:bCs/>
              </w:rPr>
              <w:t>方向</w:t>
            </w:r>
          </w:p>
        </w:tc>
        <w:tc>
          <w:tcPr>
            <w:tcW w:w="3456" w:type="dxa"/>
            <w:shd w:val="clear" w:color="auto" w:fill="F2F2F2"/>
          </w:tcPr>
          <w:p>
            <w:pPr>
              <w:spacing w:after="0"/>
            </w:pPr>
            <w:r>
              <w:rPr>
                <w:b/>
                <w:bCs/>
              </w:rPr>
              <w:t>传递内容</w:t>
            </w:r>
          </w:p>
        </w:tc>
        <w:tc>
          <w:tcPr>
            <w:tcW w:w="3456" w:type="dxa"/>
            <w:shd w:val="clear" w:color="auto" w:fill="F2F2F2"/>
          </w:tcPr>
          <w:p>
            <w:pPr>
              <w:spacing w:after="0"/>
            </w:pPr>
            <w:r>
              <w:rPr>
                <w:b/>
                <w:bCs/>
              </w:rPr>
              <w:t>作用</w:t>
            </w:r>
          </w:p>
        </w:tc>
      </w:tr>
      <w:tr>
        <w:tc>
          <w:tcPr>
            <w:tcW w:w="2016" w:type="dxa"/>
          </w:tcPr>
          <w:p>
            <w:pPr>
              <w:spacing w:after="0"/>
            </w:pPr>
            <w:r>
              <w:t>外层 → 中层</w:t>
            </w:r>
          </w:p>
        </w:tc>
        <w:tc>
          <w:tcPr>
            <w:tcW w:w="3456" w:type="dxa"/>
          </w:tcPr>
          <w:p>
            <w:pPr>
              <w:spacing w:after="0"/>
            </w:pPr>
            <w:r>
              <w:t>新发现的精英工作流</w:t>
            </w:r>
          </w:p>
        </w:tc>
        <w:tc>
          <w:tcPr>
            <w:tcW w:w="3456" w:type="dxa"/>
          </w:tcPr>
          <w:p>
            <w:pPr>
              <w:spacing w:after="0"/>
            </w:pPr>
            <w:r>
              <w:t>扩展中层的动作集（臂集）E_k</w:t>
            </w:r>
          </w:p>
        </w:tc>
      </w:tr>
      <w:tr>
        <w:tc>
          <w:tcPr>
            <w:tcW w:w="2016" w:type="dxa"/>
          </w:tcPr>
          <w:p>
            <w:pPr>
              <w:spacing w:after="0"/>
            </w:pPr>
            <w:r>
              <w:t>中层 → 顶层</w:t>
            </w:r>
          </w:p>
        </w:tc>
        <w:tc>
          <w:tcPr>
            <w:tcW w:w="3456" w:type="dxa"/>
          </w:tcPr>
          <w:p>
            <w:pPr>
              <w:spacing w:after="0"/>
            </w:pPr>
            <w:r>
              <w:t>质量-成本反馈、Pareto 超体积增量</w:t>
            </w:r>
          </w:p>
        </w:tc>
        <w:tc>
          <w:tcPr>
            <w:tcW w:w="3456" w:type="dxa"/>
          </w:tcPr>
          <w:p>
            <w:pPr>
              <w:spacing w:after="0"/>
            </w:pPr>
            <w:r>
              <w:t>作为顶层预算再分配的输入信号</w:t>
            </w:r>
          </w:p>
        </w:tc>
      </w:tr>
      <w:tr>
        <w:tc>
          <w:tcPr>
            <w:tcW w:w="2016" w:type="dxa"/>
          </w:tcPr>
          <w:p>
            <w:pPr>
              <w:spacing w:after="0"/>
            </w:pPr>
            <w:r>
              <w:t>外层 → 顶层</w:t>
            </w:r>
          </w:p>
        </w:tc>
        <w:tc>
          <w:tcPr>
            <w:tcW w:w="3456" w:type="dxa"/>
          </w:tcPr>
          <w:p>
            <w:pPr>
              <w:spacing w:after="0"/>
            </w:pPr>
            <w:r>
              <w:t>Vendi 多样性增量反馈</w:t>
            </w:r>
          </w:p>
        </w:tc>
        <w:tc>
          <w:tcPr>
            <w:tcW w:w="3456" w:type="dxa"/>
          </w:tcPr>
          <w:p>
            <w:pPr>
              <w:spacing w:after="0"/>
            </w:pPr>
            <w:r>
              <w:t>作为顶层预算再分配的输入信号</w:t>
            </w:r>
          </w:p>
        </w:tc>
      </w:tr>
      <w:tr>
        <w:tc>
          <w:tcPr>
            <w:tcW w:w="2016" w:type="dxa"/>
          </w:tcPr>
          <w:p>
            <w:pPr>
              <w:spacing w:after="0"/>
            </w:pPr>
            <w:r>
              <w:t>顶层 → 外层/中层</w:t>
            </w:r>
          </w:p>
        </w:tc>
        <w:tc>
          <w:tcPr>
            <w:tcW w:w="3456" w:type="dxa"/>
          </w:tcPr>
          <w:p>
            <w:pPr>
              <w:spacing w:after="0"/>
            </w:pPr>
            <w:r>
              <w:t>预算分配结果 β_search、β_deploy</w:t>
            </w:r>
          </w:p>
        </w:tc>
        <w:tc>
          <w:tcPr>
            <w:tcW w:w="3456" w:type="dxa"/>
          </w:tcPr>
          <w:p>
            <w:pPr>
              <w:spacing w:after="0"/>
            </w:pPr>
            <w:r>
              <w:t>决定下一阶段搜索/部署资源投入比例</w:t>
            </w:r>
          </w:p>
        </w:tc>
      </w:tr>
    </w:tbl>
    <w:p/>
    <w:p>
      <w:pPr>
        <w:pStyle w:val="Heading3"/>
      </w:pPr>
      <w:r>
        <w:t>2.1.2　触发机制与频率关系</w:t>
      </w:r>
    </w:p>
    <w:p>
      <w:r>
        <w:t>中层由外部查询（Query）驱动：每接收一条查询，中层基于线性上下文特征进行一次路由决策（逐 query 触发）。</w:t>
      </w:r>
    </w:p>
    <w:p>
      <w:r>
        <w:t>外层由顶层分配的“搜索预算”驱动：每轮从当前“清醒”的生态位子集中选择大小为 k 的子集进行变异。</w:t>
      </w:r>
    </w:p>
    <w:p>
      <w:r>
        <w:t>顶层接收外层和中层的边际增量反馈后触发：基于滑动窗口（窗口长度 w）的在线曲率估计对预算分配进行实时调整。</w:t>
      </w:r>
    </w:p>
    <w:p>
      <w:r>
        <w:t>频率上，中层的动作集（臂集）并非静态，而是随外层搜索进程异步动态增长——外层每轮变异产生的精英个体会进入中层的候选池，两层的更新节奏彼此独立但通过共享的臂集状态耦合。</w:t>
      </w:r>
    </w:p>
    <w:p>
      <w:pPr>
        <w:pStyle w:val="Heading3"/>
      </w:pPr>
      <w:r>
        <w:t>2.1.3　三层架构数据流图（文字化描述）</w:t>
      </w:r>
    </w:p>
    <w:p>
      <w:r>
        <w:t>为便于后续绘制正式框图，下面给出三层架构的文字化数据流描述，标明模块、方向与频率：</w:t>
      </w:r>
    </w:p>
    <w:p>
      <w:r>
        <w:rPr>
          <w:rFonts w:ascii="Courier New" w:hAnsi="Courier New" w:cs="Courier New"/>
          <w:sz w:val="18"/>
          <w:szCs w:val="18"/>
        </w:rPr>
        <w:t>┌─────────────────────────────────────────────────────────────────┐</w:t>
        <w:br/>
        <w:t>│  顶层 CA-SBMS（曲率感知次模老虎机元调度器）                          │</w:t>
        <w:br/>
        <w:t>│  · 触发：接收边际增量反馈后触发（基于滑动窗口 w 实时调整）              │</w:t>
        <w:br/>
        <w:t>│  · 输出：预算分配 β_search / β_deploy （β_search+β_deploy=1）        │</w:t>
        <w:br/>
        <w:t>└───────────────┬─────────────────────────────────┬─────────────────┘</w:t>
        <w:br/>
        <w:t xml:space="preserve">     预算分配指令 ↓                                    ↑ Vendi多样性增量 / Pareto超体积增量</w:t>
        <w:br/>
        <w:t>┌───────────────────────────────┐     精英工作流    ┌───────────────────────────────┐</w:t>
        <w:br/>
        <w:t>│ 外层 CS-DPP-NI（组合睡眠-DPP     │ ────(异步、按epoch)──→ │ 中层 BiG-LinUCB（双目标增长臂集） │</w:t>
        <w:br/>
        <w:t>│ 生态位照明算法）                 │   扩展动作集 E_k    │ · 触发：逐query驱动               │</w:t>
        <w:br/>
        <w:t>│ · 触发：每轮按搜索预算驱动         │                   │ · 输出：路由决策 a_t，观测 r^q,r^c │</w:t>
        <w:br/>
        <w:t>│ · 输出：候选工作流（大小为k的子集） │                   │                               │</w:t>
        <w:br/>
        <w:t>└───────────────────────────────┘                   └───────────────────────────────┘</w:t>
        <w:br/>
        <w:t xml:space="preserve">        ↑ 用户任务查询 Query（自然语言 + 上下文特征 x）</w:t>
      </w:r>
    </w:p>
    <w:p>
      <w:pPr>
        <w:pStyle w:val="Heading2"/>
      </w:pPr>
      <w:r>
        <w:t>2.2　完整输入输出与端到端流程</w:t>
      </w:r>
    </w:p>
    <w:p>
      <w:r>
        <w:rPr>
          <w:b/>
          <w:bCs/>
        </w:rPr>
        <w:t>系统输入：</w:t>
      </w:r>
      <w:r>
        <w:t>自然语言查询 Query、上下文特征 x、配置参数（变异预算 k、多样性权重 λ、权重网格 W、总预算 T）。</w:t>
      </w:r>
    </w:p>
    <w:p>
      <w:r>
        <w:rPr>
          <w:b/>
          <w:bCs/>
        </w:rPr>
        <w:t>系统输出：</w:t>
      </w:r>
      <w:r>
        <w:t>最终档案 Archive A（精英工作流集合）、执行结果（针对特定查询的代码/答案/执行计划）、性能指标（累计 Pareto 遗憾、Vendi 多样性分数、质量-成本反馈数据）。</w:t>
      </w:r>
    </w:p>
    <w:p>
      <w:pPr>
        <w:pStyle w:val="Heading3"/>
      </w:pPr>
      <w:r>
        <w:t>2.2.1　四阶段端到端流程</w:t>
      </w:r>
    </w:p>
    <w:p>
      <w:pPr>
        <w:pStyle w:val="ListParagraph"/>
        <w:numPr>
          <w:ilvl w:val="0"/>
          <w:numId w:val="4"/>
        </w:numPr>
      </w:pPr>
      <w:r>
        <w:t xml:space="preserve">顶层调度：接收外层与中层的边际增量反馈，利用在线曲率估计器计算 </w:t>
      </w:r>
      <m:oMath xmlns:m="http://schemas.openxmlformats.org/officeDocument/2006/math">
        <m:sSub>
          <m:e>
            <m:acc>
              <m:accPr>
                <m:chr m:val="̂"/>
              </m:accPr>
              <m:e>
                <m:r>
                  <m:t>γ</m:t>
                </m:r>
              </m:e>
            </m:acc>
          </m:e>
          <m:sub>
            <m:r>
              <m:t>t</m:t>
            </m:r>
          </m:sub>
        </m:sSub>
      </m:oMath>
      <w:r>
        <w:t>，据此决策预算分配 β_search / β_deploy。</w:t>
      </w:r>
    </w:p>
    <w:p>
      <w:pPr>
        <w:pStyle w:val="ListParagraph"/>
        <w:numPr>
          <w:ilvl w:val="0"/>
          <w:numId w:val="4"/>
        </w:numPr>
      </w:pPr>
      <w:r>
        <w:t>外层搜索：在候选池中执行组合子集选择，选出 k 个 niche；经 ACSR 多样性过滤后对其执行变异算子，生成候选工作流并输送至中层。</w:t>
      </w:r>
    </w:p>
    <w:p>
      <w:pPr>
        <w:pStyle w:val="ListParagraph"/>
        <w:numPr>
          <w:ilvl w:val="0"/>
          <w:numId w:val="4"/>
        </w:numPr>
      </w:pPr>
      <w:r>
        <w:t>中层部署：提取查询上下文特征 x；基于双头线性模型进行 Pareto 路由（Chebyshev 标量化决策规则）；执行选定工作流并观测质量奖励 r^q 与成本奖励 r^c。</w:t>
      </w:r>
    </w:p>
    <w:p>
      <w:pPr>
        <w:pStyle w:val="ListParagraph"/>
        <w:numPr>
          <w:ilvl w:val="0"/>
          <w:numId w:val="4"/>
        </w:numPr>
      </w:pPr>
      <w:r>
        <w:t>闭环反馈：中层产生的质量-成本反馈及外层产生的多样性增量反馈被送回顶层调度器，用于更新下一轮的预算分配决策，形成闭环优化。</w:t>
      </w:r>
    </w:p>
    <w:p>
      <w:r>
        <w:br w:type="page"/>
      </w:r>
    </w:p>
    <w:p>
      <w:pPr>
        <w:pStyle w:val="Heading1"/>
      </w:pPr>
      <w:r>
        <w:t>第3章　核心算法详细规格</w:t>
      </w:r>
    </w:p>
    <w:p>
      <w:r>
        <w:t>本章给出三层架构中每个核心算法组件的完整规格：状态/动作空间定义、奖励函数、关键理论保证（定理/命题的完整陈述），以及可直接用于工程实现的算法伪代码。各定理/命题的逐引理完整证明请参见配套的《附录A：核心算法完整数学证明》，本章仅给出证明所依赖的完整陈述，避免重复冗长的推导过程。</w:t>
      </w:r>
    </w:p>
    <w:p>
      <w:pPr>
        <w:pStyle w:val="Heading2"/>
      </w:pPr>
      <w:r>
        <w:t>3.1　外层：CS-DPP-NI（组合睡眠-DPP生态位照明算法）</w:t>
      </w:r>
    </w:p>
    <w:p>
      <w:pPr>
        <w:pStyle w:val="Heading3"/>
      </w:pPr>
      <w:r>
        <w:t>3.1.1　状态空间与动作空间</w:t>
      </w:r>
    </w:p>
    <w:p>
      <w:r>
        <w:rPr>
          <w:b/>
          <w:bCs/>
        </w:rPr>
        <w:t>状态空间（生态位全集 Ω）：</w:t>
      </w:r>
      <w:r>
        <w:t>沿用 3.3 版本的 100 个生态位网格（5×5×4），维度包括成本分位数、拓扑类别和模型异构比例。在第 t 轮，系统观测“清醒”生态位子集 A_t（即种群数不低于阈值的 niche 集合）。</w:t>
      </w:r>
    </w:p>
    <w:p>
      <w:r>
        <w:rPr>
          <w:b/>
          <w:bCs/>
        </w:rPr>
        <w:t>动作空间（子集选择）：</w:t>
      </w:r>
      <w:r>
        <w:t>每一轮的动作是从候选池 C_t ⊆ A_t（经 ACSR 密度过滤后的集合）中选择一个大小为 k 的子集 S_t 进行变异，候选池需满足以下密度约束：</w:t>
      </w:r>
    </w:p>
    <w:p>
      <m:oMathPara xmlns:m="http://schemas.openxmlformats.org/officeDocument/2006/math">
        <m:oMathParaPr>
          <m:jc m:val="center"/>
        </m:oMathParaPr>
        <m:oMath>
          <m:r>
            <m:t>density(i)≤ρ(t), ∀i∈</m:t>
          </m:r>
          <m:sSub>
            <m:e>
              <m:r>
                <m:t>C</m:t>
              </m:r>
            </m:e>
            <m:sub>
              <m:r>
                <m:t>t</m:t>
              </m:r>
            </m:sub>
          </m:sSub>
        </m:oMath>
      </m:oMathPara>
    </w:p>
    <w:p>
      <w:pPr>
        <w:pStyle w:val="Heading3"/>
      </w:pPr>
      <w:r>
        <w:t>3.1.2　奖励函数</w:t>
      </w:r>
    </w:p>
    <w:p>
      <w:r>
        <w:t>组合奖励函数 f(S) 定义为：</w:t>
      </w:r>
    </w:p>
    <w:p>
      <m:oMathPara xmlns:m="http://schemas.openxmlformats.org/officeDocument/2006/math">
        <m:oMathParaPr>
          <m:jc m:val="center"/>
        </m:oMathParaPr>
        <m:oMath>
          <m:r>
            <m:t>f(S)=</m:t>
          </m:r>
          <m:nary>
            <m:naryPr>
              <m:chr m:val="∑"/>
              <m:limLoc m:val="undOvr"/>
              <m:supHide m:val="1"/>
            </m:naryPr>
            <m:sub>
              <m:r>
                <m:t>i∈S</m:t>
              </m:r>
            </m:sub>
            <m:sup/>
            <m:e>
              <m:sSub>
                <m:e>
                  <m:r>
                    <m:t>q</m:t>
                  </m:r>
                </m:e>
                <m:sub>
                  <m:r>
                    <m:t>i</m:t>
                  </m:r>
                </m:sub>
              </m:sSub>
              <m:r>
                <m:t>+λ</m:t>
              </m:r>
              <m:r>
                <m:rPr>
                  <m:sty m:val="p"/>
                </m:rPr>
                <m:t>log</m:t>
              </m:r>
              <m:r>
                <m:rPr>
                  <m:sty m:val="p"/>
                </m:rPr>
                <m:t>det</m:t>
              </m:r>
              <m:r>
                <m:t>(</m:t>
              </m:r>
              <m:sSub>
                <m:e>
                  <m:r>
                    <m:t>K</m:t>
                  </m:r>
                </m:e>
                <m:sub>
                  <m:r>
                    <m:t>S</m:t>
                  </m:r>
                </m:sub>
              </m:sSub>
              <m:r>
                <m:t>)</m:t>
              </m:r>
            </m:e>
          </m:nary>
        </m:oMath>
      </m:oMathPara>
    </w:p>
    <w:p>
      <w:r>
        <w:t>其中 q_i 为 niche i 当前的真实期望质量（未知，需在线估计）；log det(K_S) 为由质量核加权的 DPP 核矩阵在子集 S 上主子矩阵的对数行列式，代表多样性；λ 为多样性权重超参数。该函数关于集合 S 是单调的，且在一定条件下是（近似）单调次模函数。</w:t>
      </w:r>
    </w:p>
    <w:p>
      <w:pPr>
        <w:pStyle w:val="Heading3"/>
      </w:pPr>
      <w:r>
        <w:t>3.1.3　ACSR 抗坍缩正则化</w:t>
      </w:r>
    </w:p>
    <w:p>
      <w:r>
        <w:t>density(i) 定义为 niche i 邻域内已占用生态位的密度（在 5×5×4 行为生态位空间中，以 i 为中心的局部区域内已被填充的 niche 比例）。抗坍缩阈值序列按如下方式动态收紧：</w:t>
      </w:r>
    </w:p>
    <w:p>
      <m:oMathPara xmlns:m="http://schemas.openxmlformats.org/officeDocument/2006/math">
        <m:oMathParaPr>
          <m:jc m:val="center"/>
        </m:oMathParaPr>
        <m:oMath>
          <m:r>
            <m:t>ρ(t)=</m:t>
          </m:r>
          <m:sSub>
            <m:e>
              <m:r>
                <m:t>ρ</m:t>
              </m:r>
            </m:e>
            <m:sub>
              <m:r>
                <m:t>0</m:t>
              </m:r>
            </m:sub>
          </m:sSub>
          <m:r>
            <m:t>⋅</m:t>
          </m:r>
          <m:sSup>
            <m:e>
              <m:r>
                <m:t>t</m:t>
              </m:r>
            </m:e>
            <m:sup>
              <m:r>
                <m:t>−α</m:t>
              </m:r>
            </m:sup>
          </m:sSup>
        </m:oMath>
      </m:oMathPara>
    </w:p>
    <w:p>
      <w:r>
        <w:t>其中 ρ_0 为初始阈值，α &gt; 0 为控制收紧速度的超参数，该序列单调递减且有下界，最终收敛至稳定点 ρ_∞。</w:t>
      </w:r>
    </w:p>
    <w:p>
      <w:pPr>
        <w:pStyle w:val="Heading3"/>
      </w:pPr>
      <w:r>
        <w:t>3.1.4　命题1：ACSR 多样性下界</w:t>
      </w:r>
    </w:p>
    <w:p>
      <w:r>
        <w:t>若 ACSR 惩罚项 ρ(t) 按 t^(-α) 收紧，且候选覆盖函数（Vendi Score 的单调次模近似）满足边际递减性，则存在与轮次无关的常数 C_min &gt; 0，使得在 t &gt; T_0 之后，Vendi Score 以高概率不低于该常数：</w:t>
      </w:r>
    </w:p>
    <w:p>
      <m:oMathPara xmlns:m="http://schemas.openxmlformats.org/officeDocument/2006/math">
        <m:oMathParaPr>
          <m:jc m:val="center"/>
        </m:oMathParaPr>
        <m:oMath>
          <m:r>
            <m:t>P</m:t>
          </m:r>
          <m:d>
            <m:dPr>
              <m:begChr m:val="("/>
              <m:endChr m:val=")"/>
            </m:dPr>
            <m:e>
              <m:r>
                <m:rPr>
                  <m:nor/>
                </m:rPr>
                <m:t>VendiScore</m:t>
              </m:r>
              <m:r>
                <m:t>(</m:t>
              </m:r>
              <m:sSub>
                <m:e>
                  <m:r>
                    <m:t>A</m:t>
                  </m:r>
                </m:e>
                <m:sub>
                  <m:r>
                    <m:t>t</m:t>
                  </m:r>
                </m:sub>
              </m:sSub>
              <m:r>
                <m:t>)≥</m:t>
              </m:r>
              <m:sSub>
                <m:e>
                  <m:r>
                    <m:t>C</m:t>
                  </m:r>
                </m:e>
                <m:sub>
                  <m:r>
                    <m:t>min</m:t>
                  </m:r>
                </m:sub>
              </m:sSub>
            </m:e>
          </m:d>
          <m:r>
            <m:t>≥1−δ</m:t>
          </m:r>
        </m:oMath>
      </m:oMathPara>
    </w:p>
    <w:p>
      <w:r>
        <w:t>（完整的七步证明：阈值序列收敛性、DPP log-det 次模性、Gershgorin 谱下界、Hoeffding 密度估计误差、贪心组合选择的边际保持、McDiarmid 集中不等式、Union Bound 合并，见附录 A.1。）</w:t>
      </w:r>
    </w:p>
    <w:p>
      <w:pPr>
        <w:pStyle w:val="Heading3"/>
      </w:pPr>
      <w:r>
        <w:t>3.1.5　定理1：CS-DPP-NI 组合遗憾界</w:t>
      </w:r>
    </w:p>
    <w:p>
      <w:r>
        <w:t>以至少 1-δ 的概率，满足：</w:t>
      </w:r>
    </w:p>
    <w:p>
      <m:oMathPara xmlns:m="http://schemas.openxmlformats.org/officeDocument/2006/math">
        <m:oMathParaPr>
          <m:jc m:val="center"/>
        </m:oMathParaPr>
        <m:oMath>
          <m:sSubSup>
            <m:e>
              <m:r>
                <m:t>R</m:t>
              </m:r>
            </m:e>
            <m:sub>
              <m:r>
                <m:t>T</m:t>
              </m:r>
            </m:sub>
            <m:sup>
              <m:r>
                <m:t>QD</m:t>
              </m:r>
            </m:sup>
          </m:sSubSup>
          <m:r>
            <m:t>≤</m:t>
          </m:r>
          <m:f>
            <m:num>
              <m:r>
                <m:t>e</m:t>
              </m:r>
            </m:num>
            <m:den>
              <m:r>
                <m:t>e−1</m:t>
              </m:r>
            </m:den>
          </m:f>
          <m:nary>
            <m:naryPr>
              <m:chr m:val="∑"/>
              <m:limLoc m:val="undOvr"/>
            </m:naryPr>
            <m:sub>
              <m:r>
                <m:t>t=1</m:t>
              </m:r>
            </m:sub>
            <m:sup>
              <m:r>
                <m:t>T</m:t>
              </m:r>
            </m:sup>
            <m:e>
              <m:nary>
                <m:naryPr>
                  <m:chr m:val="∑"/>
                  <m:limLoc m:val="undOvr"/>
                  <m:supHide m:val="1"/>
                </m:naryPr>
                <m:sub>
                  <m:r>
                    <m:t>i∈</m:t>
                  </m:r>
                  <m:sSub>
                    <m:e>
                      <m:r>
                        <m:t>S</m:t>
                      </m:r>
                    </m:e>
                    <m:sub>
                      <m:r>
                        <m:t>t</m:t>
                      </m:r>
                    </m:sub>
                  </m:sSub>
                </m:sub>
                <m:sup/>
                <m:e>
                  <m:d>
                    <m:dPr>
                      <m:begChr m:val="["/>
                      <m:endChr m:val="]"/>
                    </m:dPr>
                    <m:e>
                      <m:r>
                        <m:t>c</m:t>
                      </m:r>
                      <m:rad>
                        <m:radPr>
                          <m:degHide m:val="1"/>
                        </m:radPr>
                        <m:deg/>
                        <m:e>
                          <m:f>
                            <m:num>
                              <m:r>
                                <m:rPr>
                                  <m:sty m:val="p"/>
                                </m:rPr>
                                <m:t>log</m:t>
                              </m:r>
                              <m:r>
                                <m:t>t</m:t>
                              </m:r>
                            </m:num>
                            <m:den>
                              <m:sSub>
                                <m:e>
                                  <m:r>
                                    <m:t>n</m:t>
                                  </m:r>
                                </m:e>
                                <m:sub>
                                  <m:r>
                                    <m:t>i</m:t>
                                  </m:r>
                                </m:sub>
                              </m:sSub>
                              <m:r>
                                <m:t>(t)</m:t>
                              </m:r>
                            </m:den>
                          </m:f>
                        </m:e>
                      </m:rad>
                      <m:r>
                        <m:t>+λ</m:t>
                      </m:r>
                      <m:sSub>
                        <m:e>
                          <m:r>
                            <m:t>L</m:t>
                          </m:r>
                        </m:e>
                        <m:sub>
                          <m:r>
                            <m:t>K</m:t>
                          </m:r>
                        </m:sub>
                      </m:sSub>
                      <m:rad>
                        <m:radPr>
                          <m:degHide m:val="1"/>
                        </m:radPr>
                        <m:deg/>
                        <m:e>
                          <m:f>
                            <m:num>
                              <m:r>
                                <m:rPr>
                                  <m:sty m:val="p"/>
                                </m:rPr>
                                <m:t>log</m:t>
                              </m:r>
                              <m:r>
                                <m:t>t</m:t>
                              </m:r>
                            </m:num>
                            <m:den>
                              <m:sSub>
                                <m:e>
                                  <m:r>
                                    <m:t>n</m:t>
                                  </m:r>
                                </m:e>
                                <m:sub>
                                  <m:r>
                                    <m:t>i</m:t>
                                  </m:r>
                                </m:sub>
                              </m:sSub>
                              <m:r>
                                <m:t>(t)</m:t>
                              </m:r>
                            </m:den>
                          </m:f>
                        </m:e>
                      </m:rad>
                    </m:e>
                  </m:d>
                </m:e>
              </m:nary>
            </m:e>
          </m:nary>
        </m:oMath>
      </m:oMathPara>
    </w:p>
    <w:p>
      <w:r>
        <w:t>其中 L_K 为核矩阵谱范数的 Lipschitz 常数，n_i(t) 为 niche i 在时刻 t 的访问计数。证明思路分三步：（1）次模贪心近似误差（Nemhauser-Wolsey-Fisher 1978 的 (1-1/e) 近似比）；（2）UCB 估计误差在 CUCB 框架下从单臂传导至子集层面；（3）DPP 项的 Lipschitz 集中性（Gershgorin 圆盘定理）。完整逐步推导见附录 A.2。</w:t>
      </w:r>
    </w:p>
    <w:p>
      <w:pPr>
        <w:pStyle w:val="Heading3"/>
      </w:pPr>
      <w:r>
        <w:t>3.1.6　算法伪代码：CS-DPP-NI</w:t>
      </w:r>
    </w:p>
    <w:p>
      <w:pPr>
        <w:ind w:left="288"/>
      </w:pPr>
      <w:r>
        <w:rPr>
          <w:rFonts w:ascii="Courier New" w:hAnsi="Courier New" w:cs="Courier New"/>
          <w:sz w:val="20"/>
          <w:szCs w:val="20"/>
        </w:rPr>
        <w:t>初始化：q̂_i ← 0，n_i ← 0，∀i ∈ Ω；设定 ρ_0、α、k、λ</w:t>
      </w:r>
    </w:p>
    <w:p>
      <w:pPr>
        <w:ind w:left="288"/>
      </w:pPr>
      <w:r>
        <w:rPr>
          <w:rFonts w:ascii="Courier New" w:hAnsi="Courier New" w:cs="Courier New"/>
          <w:sz w:val="20"/>
          <w:szCs w:val="20"/>
        </w:rPr>
        <w:t>for t = 1, …, T_search：</w:t>
      </w:r>
    </w:p>
    <w:p>
      <w:pPr>
        <w:ind w:left="288"/>
      </w:pPr>
      <w:r>
        <w:rPr>
          <w:rFonts w:ascii="Courier New" w:hAnsi="Courier New" w:cs="Courier New"/>
          <w:sz w:val="20"/>
          <w:szCs w:val="20"/>
        </w:rPr>
        <w:t xml:space="preserve">　观测清醒子集 A_t（种群数 ≥ 阈值的 niche 集合）</w:t>
      </w:r>
    </w:p>
    <w:p>
      <w:pPr>
        <w:ind w:left="288"/>
      </w:pPr>
      <w:r>
        <w:rPr>
          <w:rFonts w:ascii="Courier New" w:hAnsi="Courier New" w:cs="Courier New"/>
          <w:sz w:val="20"/>
          <w:szCs w:val="20"/>
        </w:rPr>
        <w:t xml:space="preserve">　计算密度阈值 ρ(t) = ρ_0 · t^(-α)</w:t>
      </w:r>
    </w:p>
    <w:p>
      <w:pPr>
        <w:ind w:left="288"/>
      </w:pPr>
      <w:r>
        <w:rPr>
          <w:rFonts w:ascii="Courier New" w:hAnsi="Courier New" w:cs="Courier New"/>
          <w:sz w:val="20"/>
          <w:szCs w:val="20"/>
        </w:rPr>
        <w:t xml:space="preserve">　过滤候选池：C_t = { i ∈ A_t : density(i) ≤ ρ(t) }</w:t>
      </w:r>
    </w:p>
    <w:p>
      <w:pPr>
        <w:ind w:left="288"/>
      </w:pPr>
      <w:r>
        <w:rPr>
          <w:rFonts w:ascii="Courier New" w:hAnsi="Courier New" w:cs="Courier New"/>
          <w:sz w:val="20"/>
          <w:szCs w:val="20"/>
        </w:rPr>
        <w:t xml:space="preserve">　for j = 1, …, k（贪心组合选择）：</w:t>
      </w:r>
    </w:p>
    <w:p>
      <w:pPr>
        <w:ind w:left="288"/>
      </w:pPr>
      <w:r>
        <w:rPr>
          <w:rFonts w:ascii="Courier New" w:hAnsi="Courier New" w:cs="Courier New"/>
          <w:sz w:val="20"/>
          <w:szCs w:val="20"/>
        </w:rPr>
        <w:t xml:space="preserve">　　计算 UCB 得分：UCB_i = q̂_i + c·√(log t / n_i(t))</w:t>
      </w:r>
    </w:p>
    <w:p>
      <w:pPr>
        <w:ind w:left="288"/>
      </w:pPr>
      <w:r>
        <w:rPr>
          <w:rFonts w:ascii="Courier New" w:hAnsi="Courier New" w:cs="Courier New"/>
          <w:sz w:val="20"/>
          <w:szCs w:val="20"/>
        </w:rPr>
        <w:t xml:space="preserve">　　选择使边际增益 UCB_i + λ·Δlog det(K) 最大的 niche 加入 S_t</w:t>
      </w:r>
    </w:p>
    <w:p>
      <w:pPr>
        <w:ind w:left="288"/>
      </w:pPr>
      <w:r>
        <w:rPr>
          <w:rFonts w:ascii="Courier New" w:hAnsi="Courier New" w:cs="Courier New"/>
          <w:sz w:val="20"/>
          <w:szCs w:val="20"/>
        </w:rPr>
        <w:t xml:space="preserve">　对 S_t 中 niche 执行变异算子，生成候选工作流</w:t>
      </w:r>
    </w:p>
    <w:p>
      <w:pPr>
        <w:ind w:left="288"/>
      </w:pPr>
      <w:r>
        <w:rPr>
          <w:rFonts w:ascii="Courier New" w:hAnsi="Courier New" w:cs="Courier New"/>
          <w:sz w:val="20"/>
          <w:szCs w:val="20"/>
        </w:rPr>
        <w:t xml:space="preserve">　观测真实质量反馈，更新 q̂_i、n_i(t)</w:t>
      </w:r>
    </w:p>
    <w:p>
      <w:pPr>
        <w:ind w:left="288"/>
      </w:pPr>
      <w:r>
        <w:rPr>
          <w:rFonts w:ascii="Courier New" w:hAnsi="Courier New" w:cs="Courier New"/>
          <w:sz w:val="20"/>
          <w:szCs w:val="20"/>
        </w:rPr>
        <w:t xml:space="preserve">　将候选工作流输送至中层精英臂集 E_k</w:t>
      </w:r>
    </w:p>
    <w:p>
      <w:pPr>
        <w:ind w:left="288"/>
      </w:pPr>
      <w:r>
        <w:rPr>
          <w:rFonts w:ascii="Courier New" w:hAnsi="Courier New" w:cs="Courier New"/>
          <w:sz w:val="20"/>
          <w:szCs w:val="20"/>
        </w:rPr>
        <w:t>end for</w:t>
      </w:r>
    </w:p>
    <w:p>
      <w:pPr>
        <w:pStyle w:val="Heading2"/>
      </w:pPr>
      <w:r>
        <w:t>3.2　中层：BiG-LinUCB（双目标增长臂集LinUCB，加固版）</w:t>
      </w:r>
    </w:p>
    <w:p>
      <w:pPr>
        <w:pStyle w:val="Heading3"/>
      </w:pPr>
      <w:r>
        <w:t>3.2.1　双头线性模型</w:t>
      </w:r>
    </w:p>
    <w:p>
      <w:r>
        <w:t>为每个工作流臂 i 维护两个共享上下文特征 x 但参数独立的线性模型，分别预测质量（Quality）和成本（Cost）：</w:t>
      </w:r>
    </w:p>
    <w:p>
      <m:oMathPara xmlns:m="http://schemas.openxmlformats.org/officeDocument/2006/math">
        <m:oMathParaPr>
          <m:jc m:val="center"/>
        </m:oMathParaPr>
        <m:oMath>
          <m:sSubSup>
            <m:e>
              <m:r>
                <m:t>r</m:t>
              </m:r>
            </m:e>
            <m:sub>
              <m:r>
                <m:t>i,t</m:t>
              </m:r>
            </m:sub>
            <m:sup>
              <m:r>
                <m:t>q</m:t>
              </m:r>
            </m:sup>
          </m:sSubSup>
          <m:r>
            <m:t>=⟨ϕ(</m:t>
          </m:r>
          <m:sSub>
            <m:e>
              <m:r>
                <m:t>x</m:t>
              </m:r>
            </m:e>
            <m:sub>
              <m:r>
                <m:t>t</m:t>
              </m:r>
            </m:sub>
          </m:sSub>
          <m:r>
            <m:t>,</m:t>
          </m:r>
          <m:sSub>
            <m:e>
              <m:r>
                <m:t>a</m:t>
              </m:r>
            </m:e>
            <m:sub>
              <m:r>
                <m:t>i</m:t>
              </m:r>
            </m:sub>
          </m:sSub>
          <m:r>
            <m:t>),</m:t>
          </m:r>
          <m:sSubSup>
            <m:e>
              <m:r>
                <m:t>θ</m:t>
              </m:r>
            </m:e>
            <m:sub>
              <m:r>
                <m:t>i</m:t>
              </m:r>
            </m:sub>
            <m:sup>
              <m:r>
                <m:t>q</m:t>
              </m:r>
            </m:sup>
          </m:sSubSup>
          <m:r>
            <m:t>⟩+</m:t>
          </m:r>
          <m:sSubSup>
            <m:e>
              <m:r>
                <m:t>ϵ</m:t>
              </m:r>
            </m:e>
            <m:sub>
              <m:r>
                <m:t>t</m:t>
              </m:r>
            </m:sub>
            <m:sup>
              <m:r>
                <m:t>q</m:t>
              </m:r>
            </m:sup>
          </m:sSubSup>
        </m:oMath>
      </m:oMathPara>
    </w:p>
    <w:p>
      <m:oMathPara xmlns:m="http://schemas.openxmlformats.org/officeDocument/2006/math">
        <m:oMathParaPr>
          <m:jc m:val="center"/>
        </m:oMathParaPr>
        <m:oMath>
          <m:sSubSup>
            <m:e>
              <m:r>
                <m:t>r</m:t>
              </m:r>
            </m:e>
            <m:sub>
              <m:r>
                <m:t>i,t</m:t>
              </m:r>
            </m:sub>
            <m:sup>
              <m:r>
                <m:t>c</m:t>
              </m:r>
            </m:sup>
          </m:sSubSup>
          <m:r>
            <m:t>=⟨ϕ(</m:t>
          </m:r>
          <m:sSub>
            <m:e>
              <m:r>
                <m:t>x</m:t>
              </m:r>
            </m:e>
            <m:sub>
              <m:r>
                <m:t>t</m:t>
              </m:r>
            </m:sub>
          </m:sSub>
          <m:r>
            <m:t>,</m:t>
          </m:r>
          <m:sSub>
            <m:e>
              <m:r>
                <m:t>a</m:t>
              </m:r>
            </m:e>
            <m:sub>
              <m:r>
                <m:t>i</m:t>
              </m:r>
            </m:sub>
          </m:sSub>
          <m:r>
            <m:t>),</m:t>
          </m:r>
          <m:sSubSup>
            <m:e>
              <m:r>
                <m:t>θ</m:t>
              </m:r>
            </m:e>
            <m:sub>
              <m:r>
                <m:t>i</m:t>
              </m:r>
            </m:sub>
            <m:sup>
              <m:r>
                <m:t>c</m:t>
              </m:r>
            </m:sup>
          </m:sSubSup>
          <m:r>
            <m:t>⟩+</m:t>
          </m:r>
          <m:sSubSup>
            <m:e>
              <m:r>
                <m:t>ϵ</m:t>
              </m:r>
            </m:e>
            <m:sub>
              <m:r>
                <m:t>t</m:t>
              </m:r>
            </m:sub>
            <m:sup>
              <m:r>
                <m:t>c</m:t>
              </m:r>
            </m:sup>
          </m:sSubSup>
        </m:oMath>
      </m:oMathPara>
    </w:p>
    <w:p>
      <w:pPr>
        <w:pStyle w:val="Heading3"/>
      </w:pPr>
      <w:r>
        <w:t>3.2.2　OFUL 置信椭球与 Chebyshev 标量化决策规则</w:t>
      </w:r>
    </w:p>
    <w:p>
      <w:r>
        <w:t>基于 OFUL（Optimism in the Face of Uncertainty Linear bandit）定理，利用查询特征 x 构造质量头与成本头的置信椭球 C_t^q 与 C_t^c。为了在 Pareto 前沿上进行非线性权衡，算法在给定权重网格 W 下，通过以下 Chebyshev 标量化规则选择工作流 a_t：</w:t>
      </w:r>
    </w:p>
    <w:p>
      <m:oMathPara xmlns:m="http://schemas.openxmlformats.org/officeDocument/2006/math">
        <m:oMathParaPr>
          <m:jc m:val="center"/>
        </m:oMathParaPr>
        <m:oMath>
          <m:sSub>
            <m:e>
              <m:r>
                <m:t>a</m:t>
              </m:r>
            </m:e>
            <m:sub>
              <m:r>
                <m:t>t</m:t>
              </m:r>
            </m:sub>
          </m:sSub>
          <m:r>
            <m:t>=</m:t>
          </m:r>
          <m:r>
            <m:rPr>
              <m:sty m:val="p"/>
            </m:rPr>
            <m:t>arg</m:t>
          </m:r>
          <m:limLow>
            <m:e>
              <m:r>
                <m:rPr>
                  <m:sty m:val="p"/>
                </m:rPr>
                <m:t>max</m:t>
              </m:r>
            </m:e>
            <m:lim>
              <m:r>
                <m:t>a∈</m:t>
              </m:r>
              <m:sSub>
                <m:e>
                  <m:r>
                    <m:t>E</m:t>
                  </m:r>
                </m:e>
                <m:sub>
                  <m:r>
                    <m:t>k</m:t>
                  </m:r>
                </m:sub>
              </m:sSub>
            </m:lim>
          </m:limLow>
          <m:limLow>
            <m:e>
              <m:r>
                <m:rPr>
                  <m:sty m:val="p"/>
                </m:rPr>
                <m:t>min</m:t>
              </m:r>
            </m:e>
            <m:lim>
              <m:r>
                <m:t>w∈{q,c}</m:t>
              </m:r>
            </m:lim>
          </m:limLow>
          <m:sSup>
            <m:e>
              <m:r>
                <m:t>w</m:t>
              </m:r>
            </m:e>
            <m:sup>
              <m:r>
                <m:t>(j)</m:t>
              </m:r>
            </m:sup>
          </m:sSup>
          <m:r>
            <m:t>⋅</m:t>
          </m:r>
          <m:sSubSup>
            <m:e>
              <m:r>
                <m:rPr>
                  <m:nor/>
                </m:rPr>
                <m:t>UCB</m:t>
              </m:r>
            </m:e>
            <m:sub>
              <m:r>
                <m:t>a</m:t>
              </m:r>
            </m:sub>
            <m:sup>
              <m:r>
                <m:t>w</m:t>
              </m:r>
            </m:sup>
          </m:sSubSup>
          <m:r>
            <m:t>(t)</m:t>
          </m:r>
        </m:oMath>
      </m:oMathPara>
    </w:p>
    <w:p>
      <w:r>
        <w:t>其中 UCB_a^w(t) 为工作流 a 在目标 w（质量或成本）上的置信上界估计：</w:t>
      </w:r>
    </w:p>
    <w:p>
      <m:oMathPara xmlns:m="http://schemas.openxmlformats.org/officeDocument/2006/math">
        <m:oMathParaPr>
          <m:jc m:val="center"/>
        </m:oMathParaPr>
        <m:oMath>
          <m:sSubSup>
            <m:e>
              <m:r>
                <m:rPr>
                  <m:nor/>
                </m:rPr>
                <m:t>UCB</m:t>
              </m:r>
            </m:e>
            <m:sub>
              <m:r>
                <m:t>a</m:t>
              </m:r>
            </m:sub>
            <m:sup>
              <m:r>
                <m:t>w</m:t>
              </m:r>
            </m:sup>
          </m:sSubSup>
          <m:r>
            <m:t>(t)=⟨ϕ(</m:t>
          </m:r>
          <m:sSub>
            <m:e>
              <m:r>
                <m:t>x</m:t>
              </m:r>
            </m:e>
            <m:sub>
              <m:r>
                <m:t>t</m:t>
              </m:r>
            </m:sub>
          </m:sSub>
          <m:r>
            <m:t>,a),</m:t>
          </m:r>
          <m:sSubSup>
            <m:e>
              <m:acc>
                <m:accPr>
                  <m:chr m:val="̂"/>
                </m:accPr>
                <m:e>
                  <m:r>
                    <m:t>θ</m:t>
                  </m:r>
                </m:e>
              </m:acc>
            </m:e>
            <m:sub>
              <m:r>
                <m:t>a</m:t>
              </m:r>
            </m:sub>
            <m:sup>
              <m:r>
                <m:t>w</m:t>
              </m:r>
            </m:sup>
          </m:sSubSup>
          <m:r>
            <m:t>⟩+</m:t>
          </m:r>
          <m:sSub>
            <m:e>
              <m:r>
                <m:t>β</m:t>
              </m:r>
            </m:e>
            <m:sub>
              <m:r>
                <m:t>t</m:t>
              </m:r>
            </m:sub>
          </m:sSub>
          <m:sSub>
            <m:e>
              <m:d>
                <m:dPr>
                  <m:begChr m:val="‖"/>
                  <m:endChr m:val="‖"/>
                </m:dPr>
                <m:e>
                  <m:r>
                    <m:t>ϕ(</m:t>
                  </m:r>
                  <m:sSub>
                    <m:e>
                      <m:r>
                        <m:t>x</m:t>
                      </m:r>
                    </m:e>
                    <m:sub>
                      <m:r>
                        <m:t>t</m:t>
                      </m:r>
                    </m:sub>
                  </m:sSub>
                  <m:r>
                    <m:t>,a)</m:t>
                  </m:r>
                </m:e>
              </m:d>
            </m:e>
            <m:sub>
              <m:sSubSup>
                <m:e>
                  <m:r>
                    <m:t>V</m:t>
                  </m:r>
                </m:e>
                <m:sub>
                  <m:r>
                    <m:t>a,t</m:t>
                  </m:r>
                </m:sub>
                <m:sup>
                  <m:r>
                    <m:t>−1</m:t>
                  </m:r>
                </m:sup>
              </m:sSubSup>
            </m:sub>
          </m:sSub>
        </m:oMath>
      </m:oMathPara>
    </w:p>
    <w:p>
      <w:r>
        <w:t>动态增长机制：动作集（精英工作流集合 E_k）随外层搜索进程动态扩张。当新臂加入时，初始化其协方差矩阵 V 和参数估计 θ̂。</w:t>
      </w:r>
    </w:p>
    <w:p>
      <w:pPr>
        <w:pStyle w:val="Heading3"/>
      </w:pPr>
      <w:r>
        <w:t>3.2.3　定理2：增长臂集 Pareto 遗憾界</w:t>
      </w:r>
    </w:p>
    <w:p>
      <w:r>
        <w:t>在 OFUL 标准假设下，BiG-LinUCB 的累积 Pareto 遗憾 R_T^Pareto 满足：</w:t>
      </w:r>
    </w:p>
    <w:p>
      <m:oMathPara xmlns:m="http://schemas.openxmlformats.org/officeDocument/2006/math">
        <m:oMathParaPr>
          <m:jc m:val="center"/>
        </m:oMathParaPr>
        <m:oMath>
          <m:sSubSup>
            <m:e>
              <m:r>
                <m:t>R</m:t>
              </m:r>
            </m:e>
            <m:sub>
              <m:r>
                <m:t>T</m:t>
              </m:r>
            </m:sub>
            <m:sup>
              <m:r>
                <m:t>Pareto</m:t>
              </m:r>
            </m:sup>
          </m:sSubSup>
          <m:r>
            <m:t>≤O</m:t>
          </m:r>
          <m:d>
            <m:dPr>
              <m:begChr m:val="("/>
              <m:endChr m:val=")"/>
            </m:dPr>
            <m:e>
              <m:rad>
                <m:radPr>
                  <m:degHide m:val="1"/>
                </m:radPr>
                <m:deg/>
                <m:e>
                  <m:sSub>
                    <m:e>
                      <m:r>
                        <m:t>d</m:t>
                      </m:r>
                    </m:e>
                    <m:sub>
                      <m:r>
                        <m:t>ϕ</m:t>
                      </m:r>
                    </m:sub>
                  </m:sSub>
                  <m:r>
                    <m:t>T</m:t>
                  </m:r>
                  <m:r>
                    <m:rPr>
                      <m:sty m:val="p"/>
                    </m:rPr>
                    <m:t>log</m:t>
                  </m:r>
                  <m:r>
                    <m:t>(T/δ)</m:t>
                  </m:r>
                </m:e>
              </m:rad>
            </m:e>
          </m:d>
          <m:r>
            <m:t>+</m:t>
          </m:r>
          <m:nary>
            <m:naryPr>
              <m:chr m:val="∑"/>
              <m:limLoc m:val="undOvr"/>
              <m:supHide m:val="1"/>
            </m:naryPr>
            <m:sub>
              <m:r>
                <m:t>epoch</m:t>
              </m:r>
            </m:sub>
            <m:sup/>
            <m:e>
              <m:sSub>
                <m:e>
                  <m:r>
                    <m:t>Δ</m:t>
                  </m:r>
                </m:e>
                <m:sub>
                  <m:r>
                    <m:t>epoch</m:t>
                  </m:r>
                </m:sub>
              </m:sSub>
            </m:e>
          </m:nary>
        </m:oMath>
      </m:oMathPara>
    </w:p>
    <w:p>
      <w:r>
        <w:t>其中主遗憾项 O(√(d_φ T log(T/δ))) 源于标准线性老虎机的自归一化鞅集中不等式和椭圆势能引理；修正项 Σ Δ_epoch 是针对新增加臂的显式修正——由于外层变异预算 k 通常为常数，新臂总数有限，该项被证明是可控的，不会破坏遗憾的次线性阶数（sub-linear）。完整的五步推导（OFUL 自归一化鞅不等式、椭圆势能引理、epoch 分解与 Δ_epoch 子问题推导、新臂数量可控性假设、跨 epoch Cauchy-Schwarz 求和）见附录 A.3。</w:t>
      </w:r>
    </w:p>
    <w:p>
      <w:pPr>
        <w:pStyle w:val="Heading3"/>
      </w:pPr>
      <w:r>
        <w:t>3.2.4　与现有工作的结构性边界</w:t>
      </w:r>
    </w:p>
    <w:p>
      <w:r>
        <w:t>该算法与 Xu et al. (2023) 的 Pareto-MOMAB 存在明确边界：现有工作多处理无上下文、静态臂集问题；BiG-LinUCB 引入了线性上下文（OFUL）并解决了臂集随时间扩张的场景。BiG-LinUCB 的遗憾界显式包含了 Pareto-MOMAB 框架中不存在的“新臂修正项” Σ Δ_epoch。</w:t>
      </w:r>
    </w:p>
    <w:p>
      <w:r>
        <w:t>工程稳健性：在实际部署中，若最大标量化值低于预设阈值（即置信度不足），算法设有低置信度回退机制，会执行随机探索或转向固定的安全工作流。</w:t>
      </w:r>
    </w:p>
    <w:p>
      <w:pPr>
        <w:pStyle w:val="Heading3"/>
      </w:pPr>
      <w:r>
        <w:t>3.2.5　算法伪代码：BiG-LinUCB</w:t>
      </w:r>
    </w:p>
    <w:p>
      <w:pPr>
        <w:ind w:left="288"/>
      </w:pPr>
      <w:r>
        <w:rPr>
          <w:rFonts w:ascii="Courier New" w:hAnsi="Courier New" w:cs="Courier New"/>
          <w:sz w:val="20"/>
          <w:szCs w:val="20"/>
        </w:rPr>
        <w:t>初始化：V_0 ← λ_0 I（质量头、成本头各一个协方差矩阵），E_k ← 初始精英集</w:t>
      </w:r>
    </w:p>
    <w:p>
      <w:pPr>
        <w:ind w:left="288"/>
      </w:pPr>
      <w:r>
        <w:rPr>
          <w:rFonts w:ascii="Courier New" w:hAnsi="Courier New" w:cs="Courier New"/>
          <w:sz w:val="20"/>
          <w:szCs w:val="20"/>
        </w:rPr>
        <w:t>for t = 1, …, T_deploy：</w:t>
      </w:r>
    </w:p>
    <w:p>
      <w:pPr>
        <w:ind w:left="288"/>
      </w:pPr>
      <w:r>
        <w:rPr>
          <w:rFonts w:ascii="Courier New" w:hAnsi="Courier New" w:cs="Courier New"/>
          <w:sz w:val="20"/>
          <w:szCs w:val="20"/>
        </w:rPr>
        <w:t xml:space="preserve">　接收查询 q_t，提取上下文特征 x_t</w:t>
      </w:r>
    </w:p>
    <w:p>
      <w:pPr>
        <w:ind w:left="288"/>
      </w:pPr>
      <w:r>
        <w:rPr>
          <w:rFonts w:ascii="Courier New" w:hAnsi="Courier New" w:cs="Courier New"/>
          <w:sz w:val="20"/>
          <w:szCs w:val="20"/>
        </w:rPr>
        <w:t xml:space="preserve">　for each a_i ∈ E_k：计算 φ(x_t, a_i)，构造质量/成本置信区间</w:t>
      </w:r>
    </w:p>
    <w:p>
      <w:pPr>
        <w:ind w:left="288"/>
      </w:pPr>
      <w:r>
        <w:rPr>
          <w:rFonts w:ascii="Courier New" w:hAnsi="Courier New" w:cs="Courier New"/>
          <w:sz w:val="20"/>
          <w:szCs w:val="20"/>
        </w:rPr>
        <w:t xml:space="preserve">　按 Chebyshev 标量化规则选择 a_t = argmax_{a∈E_k} min_w w^(j)·UCB_a^w(t)</w:t>
      </w:r>
    </w:p>
    <w:p>
      <w:pPr>
        <w:ind w:left="288"/>
      </w:pPr>
      <w:r>
        <w:rPr>
          <w:rFonts w:ascii="Courier New" w:hAnsi="Courier New" w:cs="Courier New"/>
          <w:sz w:val="20"/>
          <w:szCs w:val="20"/>
        </w:rPr>
        <w:t xml:space="preserve">　执行 a_t，观测 r_t^q、r_t^c</w:t>
      </w:r>
    </w:p>
    <w:p>
      <w:pPr>
        <w:ind w:left="288"/>
      </w:pPr>
      <w:r>
        <w:rPr>
          <w:rFonts w:ascii="Courier New" w:hAnsi="Courier New" w:cs="Courier New"/>
          <w:sz w:val="20"/>
          <w:szCs w:val="20"/>
        </w:rPr>
        <w:t xml:space="preserve">　更新 V_t、θ̂_t^q、θ̂_t^c（岭回归增量更新）</w:t>
      </w:r>
    </w:p>
    <w:p>
      <w:pPr>
        <w:ind w:left="288"/>
      </w:pPr>
      <w:r>
        <w:rPr>
          <w:rFonts w:ascii="Courier New" w:hAnsi="Courier New" w:cs="Courier New"/>
          <w:sz w:val="20"/>
          <w:szCs w:val="20"/>
        </w:rPr>
        <w:t xml:space="preserve">　若外层输送新精英工作流，则 E_k 扩展，触发新 epoch</w:t>
      </w:r>
    </w:p>
    <w:p>
      <w:pPr>
        <w:ind w:left="288"/>
      </w:pPr>
      <w:r>
        <w:rPr>
          <w:rFonts w:ascii="Courier New" w:hAnsi="Courier New" w:cs="Courier New"/>
          <w:sz w:val="20"/>
          <w:szCs w:val="20"/>
        </w:rPr>
        <w:t xml:space="preserve">　将 (r_t^q, r_t^c) 反馈给顶层</w:t>
      </w:r>
    </w:p>
    <w:p>
      <w:pPr>
        <w:ind w:left="288"/>
      </w:pPr>
      <w:r>
        <w:rPr>
          <w:rFonts w:ascii="Courier New" w:hAnsi="Courier New" w:cs="Courier New"/>
          <w:sz w:val="20"/>
          <w:szCs w:val="20"/>
        </w:rPr>
        <w:t>end for</w:t>
      </w:r>
    </w:p>
    <w:p>
      <w:pPr>
        <w:pStyle w:val="Heading2"/>
      </w:pPr>
      <w:r>
        <w:t>3.3　顶层：CA-SBMS（曲率感知次模老虎机元调度器，加固版）</w:t>
      </w:r>
    </w:p>
    <w:p>
      <w:pPr>
        <w:pStyle w:val="Heading3"/>
      </w:pPr>
      <w:r>
        <w:t>3.3.1　算法定位</w:t>
      </w:r>
    </w:p>
    <w:p>
      <w:r>
        <w:t>CA-SBMS（Curvature-Aware Submodular Bandit Meta-Scheduler）是一个在线序贯决策元调度器，核心任务是在“搜索预算”与“部署校准预算”之间动态分配资源。它接收外层（搜索）和中层（部署）的边际增量反馈（如 Pareto 超体积增量和 Vendi 多样性增量），将预算分配构造为基于上下文特征 x_meta,t 的线性老虎机（Linear Bandit）问题。</w:t>
      </w:r>
    </w:p>
    <w:p>
      <w:pPr>
        <w:pStyle w:val="Heading3"/>
      </w:pPr>
      <w:r>
        <w:t>3.3.2　在线曲率估计器</w:t>
      </w:r>
    </w:p>
    <w:p>
      <w:r>
        <w:t>总曲率的标准定义为：</w:t>
      </w:r>
    </w:p>
    <w:p>
      <m:oMathPara xmlns:m="http://schemas.openxmlformats.org/officeDocument/2006/math">
        <m:oMathParaPr>
          <m:jc m:val="center"/>
        </m:oMathParaPr>
        <m:oMath>
          <m:r>
            <m:t>γ=1−</m:t>
          </m:r>
          <m:limLow>
            <m:e>
              <m:r>
                <m:rPr>
                  <m:sty m:val="p"/>
                </m:rPr>
                <m:t>min</m:t>
              </m:r>
            </m:e>
            <m:lim>
              <m:r>
                <m:t>i∈Ω</m:t>
              </m:r>
            </m:lim>
          </m:limLow>
          <m:f>
            <m:num>
              <m:r>
                <m:t>f(i∣Ω∖{i})</m:t>
              </m:r>
            </m:num>
            <m:den>
              <m:r>
                <m:t>f(i)</m:t>
              </m:r>
            </m:den>
          </m:f>
        </m:oMath>
      </m:oMathPara>
    </w:p>
    <w:p>
      <w:r>
        <w:t>引入长度为 w 的滑动窗口经验边际增益比估计器：</w:t>
      </w:r>
    </w:p>
    <w:p>
      <m:oMathPara xmlns:m="http://schemas.openxmlformats.org/officeDocument/2006/math">
        <m:oMathParaPr>
          <m:jc m:val="center"/>
        </m:oMathParaPr>
        <m:oMath>
          <m:sSub>
            <m:e>
              <m:acc>
                <m:accPr>
                  <m:chr m:val="̂"/>
                </m:accPr>
                <m:e>
                  <m:r>
                    <m:t>γ</m:t>
                  </m:r>
                </m:e>
              </m:acc>
            </m:e>
            <m:sub>
              <m:r>
                <m:t>t</m:t>
              </m:r>
            </m:sub>
          </m:sSub>
          <m:r>
            <m:t>=</m:t>
          </m:r>
          <m:limLow>
            <m:e>
              <m:r>
                <m:rPr>
                  <m:sty m:val="p"/>
                </m:rPr>
                <m:t>max</m:t>
              </m:r>
            </m:e>
            <m:lim>
              <m:r>
                <m:t>i,S</m:t>
              </m:r>
            </m:lim>
          </m:limLow>
          <m:d>
            <m:dPr>
              <m:begChr m:val="("/>
              <m:endChr m:val=")"/>
            </m:dPr>
            <m:e>
              <m:r>
                <m:t>1−</m:t>
              </m:r>
              <m:f>
                <m:num>
                  <m:r>
                    <m:t>f(i∣S)</m:t>
                  </m:r>
                </m:num>
                <m:den>
                  <m:r>
                    <m:t>f(i∣∅)</m:t>
                  </m:r>
                </m:den>
              </m:f>
            </m:e>
          </m:d>
          <m:r>
            <m:t>+</m:t>
          </m:r>
          <m:sSub>
            <m:e>
              <m:r>
                <m:t>ϵ</m:t>
              </m:r>
            </m:e>
            <m:sub>
              <m:r>
                <m:t>t</m:t>
              </m:r>
            </m:sub>
          </m:sSub>
        </m:oMath>
      </m:oMathPara>
    </w:p>
    <w:p>
      <w:r>
        <w:t>其中 ε_t 是基于 Hoeffding 型的置信修正项，确保 γ̂_t 是真实曲率 γ 的高概率上界；估计器在均摊意义下为 O(1) 增量计算，仅需在 CPU 端进行轻量级统计，不增加 GPU 负担。</w:t>
      </w:r>
    </w:p>
    <w:p>
      <w:pPr>
        <w:pStyle w:val="Heading3"/>
      </w:pPr>
      <w:r>
        <w:t>3.3.3　命题2：在线曲率估计集中界</w:t>
      </w:r>
    </w:p>
    <w:p>
      <w:r>
        <w:t>以至少 1-δ 的概率，对所有 t 同时成立：</w:t>
      </w:r>
    </w:p>
    <w:p>
      <m:oMathPara xmlns:m="http://schemas.openxmlformats.org/officeDocument/2006/math">
        <m:oMathParaPr>
          <m:jc m:val="center"/>
        </m:oMathParaPr>
        <m:oMath>
          <m:d>
            <m:dPr>
              <m:begChr m:val="|"/>
              <m:endChr m:val="|"/>
            </m:dPr>
            <m:e>
              <m:sSub>
                <m:e>
                  <m:acc>
                    <m:accPr>
                      <m:chr m:val="̂"/>
                    </m:accPr>
                    <m:e>
                      <m:r>
                        <m:t>γ</m:t>
                      </m:r>
                    </m:e>
                  </m:acc>
                </m:e>
                <m:sub>
                  <m:r>
                    <m:t>t</m:t>
                  </m:r>
                </m:sub>
              </m:sSub>
              <m:r>
                <m:t>−γ</m:t>
              </m:r>
            </m:e>
          </m:d>
          <m:r>
            <m:t>≤</m:t>
          </m:r>
          <m:sSub>
            <m:e>
              <m:r>
                <m:t>ϵ</m:t>
              </m:r>
            </m:e>
            <m:sub>
              <m:r>
                <m:t>t</m:t>
              </m:r>
            </m:sub>
          </m:sSub>
          <m:r>
            <m:t xml:space="preserve">, </m:t>
          </m:r>
          <m:sSub>
            <m:e>
              <m:r>
                <m:t>ϵ</m:t>
              </m:r>
            </m:e>
            <m:sub>
              <m:r>
                <m:t>t</m:t>
              </m:r>
            </m:sub>
          </m:sSub>
          <m:r>
            <m:t>=O</m:t>
          </m:r>
          <m:d>
            <m:dPr>
              <m:begChr m:val="("/>
              <m:endChr m:val=")"/>
            </m:dPr>
            <m:e>
              <m:rad>
                <m:radPr>
                  <m:degHide m:val="1"/>
                </m:radPr>
                <m:deg/>
                <m:e>
                  <m:f>
                    <m:num>
                      <m:r>
                        <m:rPr>
                          <m:sty m:val="p"/>
                        </m:rPr>
                        <m:t>log</m:t>
                      </m:r>
                      <m:r>
                        <m:t>(t/δ)</m:t>
                      </m:r>
                    </m:num>
                    <m:den>
                      <m:sSub>
                        <m:e>
                          <m:r>
                            <m:t>m</m:t>
                          </m:r>
                        </m:e>
                        <m:sub>
                          <m:r>
                            <m:t>t</m:t>
                          </m:r>
                        </m:sub>
                      </m:sSub>
                    </m:den>
                  </m:f>
                </m:e>
              </m:rad>
            </m:e>
          </m:d>
        </m:oMath>
      </m:oMathPara>
    </w:p>
    <w:p>
      <w:r>
        <w:t>其中 m_t 为窗口内有效观测样本数。证明分三步：（1）对窗口内同一 niche 对 (i, S) 的重复访问样本应用 Hoeffding 不等式，得到单点集中性；（2）使用 Union Bound 在时间维度取并集，扩展为一致高概率保证（引入 log t 项）；（3）结合滑动窗口机制证明曲率缓慢漂移时的跟踪能力。完整推导（含新增假设 A3 下界有界性、A4 缓变曲率）见附录 A.4。</w:t>
      </w:r>
    </w:p>
    <w:p>
      <w:pPr>
        <w:pStyle w:val="Heading3"/>
      </w:pPr>
      <w:r>
        <w:t>3.3.4　回退机制</w:t>
      </w:r>
    </w:p>
    <w:p>
      <w:r>
        <w:t>触发条件：当置信半径 ε_t 过大（超过预设阈值 ε_max），通常发生在观测样本不足或效用增量函数发生剧烈漂移时。逻辑实现：系统自动令 γ̂_t → 1。理论效果：此时近似比公式退化为经典的 (1-1/e)，为 CA-SBMS 调度器提供理论安全网，确保最坏情况下的性能不劣于固定曲率假设的基线水平。</w:t>
      </w:r>
    </w:p>
    <w:p>
      <w:pPr>
        <w:pStyle w:val="Heading3"/>
      </w:pPr>
      <w:r>
        <w:t>3.3.5　命题3：自适应近似比保证（近似比误差传导）</w:t>
      </w:r>
    </w:p>
    <w:p>
      <w:r>
        <w:t>记 h(γ) 为 Vondrák (2010) 给出的曲率感知贪心近似比：</w:t>
      </w:r>
    </w:p>
    <w:p>
      <m:oMathPara xmlns:m="http://schemas.openxmlformats.org/officeDocument/2006/math">
        <m:oMathParaPr>
          <m:jc m:val="center"/>
        </m:oMathParaPr>
        <m:oMath>
          <m:r>
            <m:t>h(γ)=</m:t>
          </m:r>
          <m:f>
            <m:num>
              <m:r>
                <m:t>1−</m:t>
              </m:r>
              <m:sSup>
                <m:e>
                  <m:r>
                    <m:t>e</m:t>
                  </m:r>
                </m:e>
                <m:sup>
                  <m:r>
                    <m:t>−γ</m:t>
                  </m:r>
                </m:sup>
              </m:sSup>
            </m:num>
            <m:den>
              <m:r>
                <m:t>γ</m:t>
              </m:r>
            </m:den>
          </m:f>
        </m:oMath>
      </m:oMathPara>
    </w:p>
    <w:p>
      <w:r>
        <w:t>结合命题2，证明在在线未知曲率场景下，算法能提供高概率一致成立的近似比：</w:t>
      </w:r>
    </w:p>
    <w:p>
      <m:oMathPara xmlns:m="http://schemas.openxmlformats.org/officeDocument/2006/math">
        <m:oMathParaPr>
          <m:jc m:val="center"/>
        </m:oMathParaPr>
        <m:oMath>
          <m:sSub>
            <m:e>
              <m:r>
                <m:t>α</m:t>
              </m:r>
            </m:e>
            <m:sub>
              <m:r>
                <m:t>t</m:t>
              </m:r>
            </m:sub>
          </m:sSub>
          <m:r>
            <m:t>≥</m:t>
          </m:r>
          <m:f>
            <m:num>
              <m:r>
                <m:t>1−</m:t>
              </m:r>
              <m:sSup>
                <m:e>
                  <m:r>
                    <m:t>e</m:t>
                  </m:r>
                </m:e>
                <m:sup>
                  <m:r>
                    <m:t>−</m:t>
                  </m:r>
                  <m:sSub>
                    <m:e>
                      <m:acc>
                        <m:accPr>
                          <m:chr m:val="̂"/>
                        </m:accPr>
                        <m:e>
                          <m:r>
                            <m:t>γ</m:t>
                          </m:r>
                        </m:e>
                      </m:acc>
                    </m:e>
                    <m:sub>
                      <m:r>
                        <m:t>t</m:t>
                      </m:r>
                    </m:sub>
                  </m:sSub>
                </m:sup>
              </m:sSup>
            </m:num>
            <m:den>
              <m:sSub>
                <m:e>
                  <m:acc>
                    <m:accPr>
                      <m:chr m:val="̂"/>
                    </m:accPr>
                    <m:e>
                      <m:r>
                        <m:t>γ</m:t>
                      </m:r>
                    </m:e>
                  </m:acc>
                </m:e>
                <m:sub>
                  <m:r>
                    <m:t>t</m:t>
                  </m:r>
                </m:sub>
              </m:sSub>
            </m:den>
          </m:f>
          <m:r>
            <m:t>−O(</m:t>
          </m:r>
          <m:sSub>
            <m:e>
              <m:r>
                <m:t>ϵ</m:t>
              </m:r>
            </m:e>
            <m:sub>
              <m:r>
                <m:t>t</m:t>
              </m:r>
            </m:sub>
          </m:sSub>
          <m:r>
            <m:t>)=h(</m:t>
          </m:r>
          <m:sSub>
            <m:e>
              <m:acc>
                <m:accPr>
                  <m:chr m:val="̂"/>
                </m:accPr>
                <m:e>
                  <m:r>
                    <m:t>γ</m:t>
                  </m:r>
                </m:e>
              </m:acc>
            </m:e>
            <m:sub>
              <m:r>
                <m:t>t</m:t>
              </m:r>
            </m:sub>
          </m:sSub>
          <m:r>
            <m:t>)−O(</m:t>
          </m:r>
          <m:sSub>
            <m:e>
              <m:r>
                <m:t>ϵ</m:t>
              </m:r>
            </m:e>
            <m:sub>
              <m:r>
                <m:t>t</m:t>
              </m:r>
            </m:sub>
          </m:sSub>
          <m:r>
            <m:t>)</m:t>
          </m:r>
        </m:oMath>
      </m:oMathPara>
    </w:p>
    <w:p>
      <w:r>
        <w:t>等价地，CA-SBMS 的实际效用满足：</w:t>
      </w:r>
    </w:p>
    <w:p>
      <m:oMathPara xmlns:m="http://schemas.openxmlformats.org/officeDocument/2006/math">
        <m:oMathParaPr>
          <m:jc m:val="center"/>
        </m:oMathParaPr>
        <m:oMath>
          <m:r>
            <m:t>f(CA</m:t>
          </m:r>
          <m:r>
            <m:rPr>
              <m:nor/>
            </m:rPr>
            <m:t>-</m:t>
          </m:r>
          <m:r>
            <m:t>SBMS)≥</m:t>
          </m:r>
          <m:d>
            <m:dPr>
              <m:begChr m:val="["/>
              <m:endChr m:val="]"/>
            </m:dPr>
            <m:e>
              <m:r>
                <m:t>h(</m:t>
              </m:r>
              <m:sSub>
                <m:e>
                  <m:acc>
                    <m:accPr>
                      <m:chr m:val="̂"/>
                    </m:accPr>
                    <m:e>
                      <m:r>
                        <m:t>γ</m:t>
                      </m:r>
                    </m:e>
                  </m:acc>
                </m:e>
                <m:sub>
                  <m:r>
                    <m:t>t</m:t>
                  </m:r>
                </m:sub>
              </m:sSub>
              <m:r>
                <m:t>)−O(</m:t>
              </m:r>
              <m:sSub>
                <m:e>
                  <m:r>
                    <m:t>ϵ</m:t>
                  </m:r>
                </m:e>
                <m:sub>
                  <m:r>
                    <m:t>t</m:t>
                  </m:r>
                </m:sub>
              </m:sSub>
              <m:r>
                <m:t>)</m:t>
              </m:r>
            </m:e>
          </m:d>
          <m:r>
            <m:t>⋅OPT</m:t>
          </m:r>
        </m:oMath>
      </m:oMathPara>
    </w:p>
    <w:p>
      <w:r>
        <w:t>该比例在曲率 γ &lt; 1 时优于标准的 (1-1/e)。完整推导（h(γ) 的 Lipschitz 常数 C_h 显式数值推导、误差链式传导、与回退机制的分段一致性）见附录 A.5。</w:t>
      </w:r>
    </w:p>
    <w:p>
      <w:pPr>
        <w:pStyle w:val="Heading3"/>
      </w:pPr>
      <w:r>
        <w:t>3.3.6　调度决策遗憾界</w:t>
      </w:r>
    </w:p>
    <w:p>
      <w:r>
        <w:t>基于 OFUL 框架，顶层调度决策的累积遗憾满足：</w:t>
      </w:r>
    </w:p>
    <w:p>
      <m:oMathPara xmlns:m="http://schemas.openxmlformats.org/officeDocument/2006/math">
        <m:oMathParaPr>
          <m:jc m:val="center"/>
        </m:oMathParaPr>
        <m:oMath>
          <m:sSubSup>
            <m:e>
              <m:r>
                <m:t>R</m:t>
              </m:r>
            </m:e>
            <m:sub>
              <m:r>
                <m:t>T</m:t>
              </m:r>
            </m:sub>
            <m:sup>
              <m:r>
                <m:t>CA</m:t>
              </m:r>
              <m:r>
                <m:rPr>
                  <m:nor/>
                </m:rPr>
                <m:t>-</m:t>
              </m:r>
              <m:r>
                <m:t>SBMS</m:t>
              </m:r>
            </m:sup>
          </m:sSubSup>
          <m:r>
            <m:t>≤O</m:t>
          </m:r>
          <m:d>
            <m:dPr>
              <m:begChr m:val="("/>
              <m:endChr m:val=")"/>
            </m:dPr>
            <m:e>
              <m:sSub>
                <m:e>
                  <m:r>
                    <m:t>d</m:t>
                  </m:r>
                </m:e>
                <m:sub>
                  <m:r>
                    <m:t>ϕ</m:t>
                  </m:r>
                </m:sub>
              </m:sSub>
              <m:rad>
                <m:radPr>
                  <m:degHide m:val="1"/>
                </m:radPr>
                <m:deg/>
                <m:e>
                  <m:r>
                    <m:t>T</m:t>
                  </m:r>
                </m:e>
              </m:rad>
              <m:r>
                <m:rPr>
                  <m:sty m:val="p"/>
                </m:rPr>
                <m:t>log</m:t>
              </m:r>
              <m:r>
                <m:t>T</m:t>
              </m:r>
            </m:e>
          </m:d>
        </m:oMath>
      </m:oMathPara>
    </w:p>
    <w:p>
      <w:pPr>
        <w:pStyle w:val="Heading3"/>
      </w:pPr>
      <w:r>
        <w:t>3.3.7　算法伪代码：CA-SBMS</w:t>
      </w:r>
    </w:p>
    <w:p>
      <w:pPr>
        <w:ind w:left="288"/>
      </w:pPr>
      <w:r>
        <w:rPr>
          <w:rFonts w:ascii="Courier New" w:hAnsi="Courier New" w:cs="Courier New"/>
          <w:sz w:val="20"/>
          <w:szCs w:val="20"/>
        </w:rPr>
        <w:t>初始化：滑动窗口 W ← ∅，γ̂_0 ← 1（保守初始值）</w:t>
      </w:r>
    </w:p>
    <w:p>
      <w:pPr>
        <w:ind w:left="288"/>
      </w:pPr>
      <w:r>
        <w:rPr>
          <w:rFonts w:ascii="Courier New" w:hAnsi="Courier New" w:cs="Courier New"/>
          <w:sz w:val="20"/>
          <w:szCs w:val="20"/>
        </w:rPr>
        <w:t>for each 调度周期：</w:t>
      </w:r>
    </w:p>
    <w:p>
      <w:pPr>
        <w:ind w:left="288"/>
      </w:pPr>
      <w:r>
        <w:rPr>
          <w:rFonts w:ascii="Courier New" w:hAnsi="Courier New" w:cs="Courier New"/>
          <w:sz w:val="20"/>
          <w:szCs w:val="20"/>
        </w:rPr>
        <w:t xml:space="preserve">　接收外层 Vendi 多样性增量反馈、中层 Pareto 超体积增量反馈</w:t>
      </w:r>
    </w:p>
    <w:p>
      <w:pPr>
        <w:ind w:left="288"/>
      </w:pPr>
      <w:r>
        <w:rPr>
          <w:rFonts w:ascii="Courier New" w:hAnsi="Courier New" w:cs="Courier New"/>
          <w:sz w:val="20"/>
          <w:szCs w:val="20"/>
        </w:rPr>
        <w:t xml:space="preserve">　更新滑动窗口，计算经验边际增益比</w:t>
      </w:r>
    </w:p>
    <w:p>
      <w:pPr>
        <w:ind w:left="288"/>
      </w:pPr>
      <w:r>
        <w:rPr>
          <w:rFonts w:ascii="Courier New" w:hAnsi="Courier New" w:cs="Courier New"/>
          <w:sz w:val="20"/>
          <w:szCs w:val="20"/>
        </w:rPr>
        <w:t xml:space="preserve">　计算 γ̂_t 及置信半径 ε_t（依据 3.3.3 节公式）</w:t>
      </w:r>
    </w:p>
    <w:p>
      <w:pPr>
        <w:ind w:left="288"/>
      </w:pPr>
      <w:r>
        <w:rPr>
          <w:rFonts w:ascii="Courier New" w:hAnsi="Courier New" w:cs="Courier New"/>
          <w:sz w:val="20"/>
          <w:szCs w:val="20"/>
        </w:rPr>
        <w:t xml:space="preserve">　若 ε_t &gt; ε_max：触发回退，γ̂_t ← 1</w:t>
      </w:r>
    </w:p>
    <w:p>
      <w:pPr>
        <w:ind w:left="288"/>
      </w:pPr>
      <w:r>
        <w:rPr>
          <w:rFonts w:ascii="Courier New" w:hAnsi="Courier New" w:cs="Courier New"/>
          <w:sz w:val="20"/>
          <w:szCs w:val="20"/>
        </w:rPr>
        <w:t xml:space="preserve">　计算近似比 h(γ̂_t) = (1 - e^(-γ̂_t)) / γ̂_t</w:t>
      </w:r>
    </w:p>
    <w:p>
      <w:pPr>
        <w:ind w:left="288"/>
      </w:pPr>
      <w:r>
        <w:rPr>
          <w:rFonts w:ascii="Courier New" w:hAnsi="Courier New" w:cs="Courier New"/>
          <w:sz w:val="20"/>
          <w:szCs w:val="20"/>
        </w:rPr>
        <w:t xml:space="preserve">　基于 h(γ̂_t) 动态分配 β_search、β_deploy（β_search + β_deploy = 1）</w:t>
      </w:r>
    </w:p>
    <w:p>
      <w:pPr>
        <w:ind w:left="288"/>
      </w:pPr>
      <w:r>
        <w:rPr>
          <w:rFonts w:ascii="Courier New" w:hAnsi="Courier New" w:cs="Courier New"/>
          <w:sz w:val="20"/>
          <w:szCs w:val="20"/>
        </w:rPr>
        <w:t xml:space="preserve">　下达预算分配指令至外层、中层</w:t>
      </w:r>
    </w:p>
    <w:p>
      <w:pPr>
        <w:ind w:left="288"/>
      </w:pPr>
      <w:r>
        <w:rPr>
          <w:rFonts w:ascii="Courier New" w:hAnsi="Courier New" w:cs="Courier New"/>
          <w:sz w:val="20"/>
          <w:szCs w:val="20"/>
        </w:rPr>
        <w:t>end for</w:t>
      </w:r>
    </w:p>
    <w:p>
      <w:pPr>
        <w:pStyle w:val="Heading2"/>
      </w:pPr>
      <w:r>
        <w:t>3.4　三层复合定理（Triple-Layer Composite Theorem）</w:t>
      </w:r>
    </w:p>
    <w:p>
      <w:r>
        <w:t>定理3给出，在总预算 T 下，系统端到端的效用损失满足以下不等式：</w:t>
      </w:r>
    </w:p>
    <w:p>
      <m:oMathPara xmlns:m="http://schemas.openxmlformats.org/officeDocument/2006/math">
        <m:oMathParaPr>
          <m:jc m:val="center"/>
        </m:oMathParaPr>
        <m:oMath>
          <m:r>
            <m:t>Loss(T)≤</m:t>
          </m:r>
          <m:sSub>
            <m:e>
              <m:r>
                <m:t>β</m:t>
              </m:r>
            </m:e>
            <m:sub>
              <m:r>
                <m:t>search</m:t>
              </m:r>
            </m:sub>
          </m:sSub>
          <m:r>
            <m:t>⋅</m:t>
          </m:r>
          <m:sSubSup>
            <m:e>
              <m:r>
                <m:t>R</m:t>
              </m:r>
            </m:e>
            <m:sub>
              <m:r>
                <m:t>T</m:t>
              </m:r>
            </m:sub>
            <m:sup>
              <m:r>
                <m:t>QD</m:t>
              </m:r>
            </m:sup>
          </m:sSubSup>
          <m:r>
            <m:t>+</m:t>
          </m:r>
          <m:sSub>
            <m:e>
              <m:r>
                <m:t>β</m:t>
              </m:r>
            </m:e>
            <m:sub>
              <m:r>
                <m:t>deploy</m:t>
              </m:r>
            </m:sub>
          </m:sSub>
          <m:r>
            <m:t>⋅</m:t>
          </m:r>
          <m:sSubSup>
            <m:e>
              <m:r>
                <m:t>R</m:t>
              </m:r>
            </m:e>
            <m:sub>
              <m:r>
                <m:t>T</m:t>
              </m:r>
            </m:sub>
            <m:sup>
              <m:r>
                <m:t>Pareto</m:t>
              </m:r>
            </m:sup>
          </m:sSubSup>
          <m:r>
            <m:t>+</m:t>
          </m:r>
          <m:d>
            <m:dPr>
              <m:begChr m:val="["/>
              <m:endChr m:val="]"/>
            </m:dPr>
            <m:e>
              <m:r>
                <m:t>1−</m:t>
              </m:r>
              <m:d>
                <m:dPr>
                  <m:begChr m:val="("/>
                  <m:endChr m:val=")"/>
                </m:dPr>
                <m:e>
                  <m:r>
                    <m:t>h(</m:t>
                  </m:r>
                  <m:sSub>
                    <m:e>
                      <m:acc>
                        <m:accPr>
                          <m:chr m:val="̂"/>
                        </m:accPr>
                        <m:e>
                          <m:r>
                            <m:t>γ</m:t>
                          </m:r>
                        </m:e>
                      </m:acc>
                    </m:e>
                    <m:sub>
                      <m:r>
                        <m:t>t</m:t>
                      </m:r>
                    </m:sub>
                  </m:sSub>
                  <m:r>
                    <m:t>)−O(</m:t>
                  </m:r>
                  <m:sSub>
                    <m:e>
                      <m:r>
                        <m:t>ϵ</m:t>
                      </m:r>
                    </m:e>
                    <m:sub>
                      <m:r>
                        <m:t>t</m:t>
                      </m:r>
                    </m:sub>
                  </m:sSub>
                  <m:r>
                    <m:t>)</m:t>
                  </m:r>
                </m:e>
              </m:d>
            </m:e>
          </m:d>
          <m:r>
            <m:t>⋅OPT+CrossTerm</m:t>
          </m:r>
        </m:oMath>
      </m:oMathPara>
    </w:p>
    <w:p>
      <w:r>
        <w:t>其中预算分配比例满足约束：</w:t>
      </w:r>
    </w:p>
    <w:p>
      <m:oMathPara xmlns:m="http://schemas.openxmlformats.org/officeDocument/2006/math">
        <m:oMathParaPr>
          <m:jc m:val="center"/>
        </m:oMathParaPr>
        <m:oMath>
          <m:sSub>
            <m:e>
              <m:r>
                <m:t>β</m:t>
              </m:r>
            </m:e>
            <m:sub>
              <m:r>
                <m:t>search</m:t>
              </m:r>
            </m:sub>
          </m:sSub>
          <m:r>
            <m:t>+</m:t>
          </m:r>
          <m:sSub>
            <m:e>
              <m:r>
                <m:t>β</m:t>
              </m:r>
            </m:e>
            <m:sub>
              <m:r>
                <m:t>deploy</m:t>
              </m:r>
            </m:sub>
          </m:sSub>
          <m:r>
            <m:t>=1</m:t>
          </m:r>
        </m:oMath>
      </m:oMathPara>
    </w:p>
    <w:p>
      <w:r>
        <w:t>各项含义：R_T^QD 为外层 CS-DPP-NI 的组合 QD-Regret 界（定理1）；R_T^Pareto 为中层 BiG-LinUCB 的增长臂集 Pareto-遗憾界（定理2）；h(γ̂_t) - O(ε_t) 为顶层 CA-SBMS 在线估计的自适应近似比保证（命题3）；OPT 为离线最优预算切分下的最大期望效用；CrossTerm 为跨层交叉协方差项。</w:t>
      </w:r>
    </w:p>
    <w:p>
      <w:pPr>
        <w:pStyle w:val="Heading3"/>
      </w:pPr>
      <w:r>
        <w:t>3.4.1　证明思路概述</w:t>
      </w:r>
    </w:p>
    <w:p>
      <w:pPr>
        <w:pStyle w:val="ListParagraph"/>
        <w:numPr>
          <w:ilvl w:val="0"/>
          <w:numId w:val="5"/>
        </w:numPr>
      </w:pPr>
      <w:r>
        <w:t>Oracle 分解：定义理想状态（顶层调度给出与离线最优预算切分完全一致的分配），将总损失分解为“调度损失”与“子程序执行损失”两部分。</w:t>
      </w:r>
    </w:p>
    <w:p>
      <w:pPr>
        <w:pStyle w:val="ListParagraph"/>
        <w:numPr>
          <w:ilvl w:val="0"/>
          <w:numId w:val="5"/>
        </w:numPr>
      </w:pPr>
      <w:r>
        <w:t>界定调度损失：利用命题3的自适应近似比保证，确立不等式中的第三项（顶层近似比损失项）。</w:t>
      </w:r>
    </w:p>
    <w:p>
      <w:pPr>
        <w:pStyle w:val="ListParagraph"/>
        <w:numPr>
          <w:ilvl w:val="0"/>
          <w:numId w:val="5"/>
        </w:numPr>
      </w:pPr>
      <w:r>
        <w:t>界定子程序执行损失：按实际分配的预算比例代入定理1和定理2的遗憾界，加权求和得到前两项。</w:t>
      </w:r>
    </w:p>
    <w:p>
      <w:pPr>
        <w:pStyle w:val="ListParagraph"/>
        <w:numPr>
          <w:ilvl w:val="0"/>
          <w:numId w:val="5"/>
        </w:numPr>
      </w:pPr>
      <w:r>
        <w:t>交叉项处理与合并：使用 Cauchy-Schwarz 不等式处理调度决策与子程序表现间的协方差交叉项，证明其被控制在与主导项同阶或更低阶，最后通过全期望展开合并各项。</w:t>
      </w:r>
    </w:p>
    <w:p>
      <w:r>
        <w:t>（完整证明含显式常数与严格步骤，见附录 A.6。）</w:t>
      </w:r>
    </w:p>
    <w:p>
      <w:pPr>
        <w:pStyle w:val="Heading3"/>
      </w:pPr>
      <w:r>
        <w:t>3.4.2　耦合必要性论证</w:t>
      </w:r>
    </w:p>
    <w:tbl>
      <w:tblPr>
        <w:tblStyle w:val="TableGrid"/>
        <w:tblW w:w="8928" w:type="dxa"/>
        <w:tblLayout w:type="fixed"/>
        <w:tblLook w:val="04A0" w:firstRow="1" w:lastRow="0" w:firstColumn="1" w:lastColumn="0" w:noHBand="0" w:noVBand="1"/>
      </w:tblPr>
      <w:tblGrid>
        <w:gridCol w:w="2160"/>
        <w:gridCol w:w="2736"/>
        <w:gridCol w:w="4032"/>
      </w:tblGrid>
      <w:tr>
        <w:trPr>
          <w:tblHeader/>
        </w:trPr>
        <w:tc>
          <w:tcPr>
            <w:tcW w:w="2160" w:type="dxa"/>
            <w:shd w:val="clear" w:color="auto" w:fill="F2F2F2"/>
          </w:tcPr>
          <w:p>
            <w:pPr>
              <w:spacing w:after="0"/>
            </w:pPr>
            <w:r>
              <w:rPr>
                <w:b/>
                <w:bCs/>
              </w:rPr>
              <w:t>移除层级</w:t>
            </w:r>
          </w:p>
        </w:tc>
        <w:tc>
          <w:tcPr>
            <w:tcW w:w="2736" w:type="dxa"/>
            <w:shd w:val="clear" w:color="auto" w:fill="F2F2F2"/>
          </w:tcPr>
          <w:p>
            <w:pPr>
              <w:spacing w:after="0"/>
            </w:pPr>
            <w:r>
              <w:rPr>
                <w:b/>
                <w:bCs/>
              </w:rPr>
              <w:t>直接后果</w:t>
            </w:r>
          </w:p>
        </w:tc>
        <w:tc>
          <w:tcPr>
            <w:tcW w:w="4032" w:type="dxa"/>
            <w:shd w:val="clear" w:color="auto" w:fill="F2F2F2"/>
          </w:tcPr>
          <w:p>
            <w:pPr>
              <w:spacing w:after="0"/>
            </w:pPr>
            <w:r>
              <w:rPr>
                <w:b/>
                <w:bCs/>
              </w:rPr>
              <w:t>退化逻辑</w:t>
            </w:r>
          </w:p>
        </w:tc>
      </w:tr>
      <w:tr>
        <w:tc>
          <w:tcPr>
            <w:tcW w:w="2160" w:type="dxa"/>
          </w:tcPr>
          <w:p>
            <w:pPr>
              <w:spacing w:after="0"/>
            </w:pPr>
            <w:r>
              <w:t>移除外层（CS-DPP-NI）</w:t>
            </w:r>
          </w:p>
        </w:tc>
        <w:tc>
          <w:tcPr>
            <w:tcW w:w="2736" w:type="dxa"/>
          </w:tcPr>
          <w:p>
            <w:pPr>
              <w:spacing w:after="0"/>
            </w:pPr>
            <w:r>
              <w:t>R_T^QD 无法界定</w:t>
            </w:r>
          </w:p>
        </w:tc>
        <w:tc>
          <w:tcPr>
            <w:tcW w:w="4032" w:type="dxa"/>
          </w:tcPr>
          <w:p>
            <w:pPr>
              <w:spacing w:after="0"/>
            </w:pPr>
            <w:r>
              <w:t>搜索退化为无多样性保证的纯质量贪心，OPT 的定义（依赖多样性覆盖）不再良定义</w:t>
            </w:r>
          </w:p>
        </w:tc>
      </w:tr>
      <w:tr>
        <w:tc>
          <w:tcPr>
            <w:tcW w:w="2160" w:type="dxa"/>
          </w:tcPr>
          <w:p>
            <w:pPr>
              <w:spacing w:after="0"/>
            </w:pPr>
            <w:r>
              <w:t>移除中层（BiG-LinUCB）</w:t>
            </w:r>
          </w:p>
        </w:tc>
        <w:tc>
          <w:tcPr>
            <w:tcW w:w="2736" w:type="dxa"/>
          </w:tcPr>
          <w:p>
            <w:pPr>
              <w:spacing w:after="0"/>
            </w:pPr>
            <w:r>
              <w:t>R_T^Pareto 无法界定</w:t>
            </w:r>
          </w:p>
        </w:tc>
        <w:tc>
          <w:tcPr>
            <w:tcW w:w="4032" w:type="dxa"/>
          </w:tcPr>
          <w:p>
            <w:pPr>
              <w:spacing w:after="0"/>
            </w:pPr>
            <w:r>
              <w:t>部署路由退化为固定策略，无法追踪质量-成本的动态 Pareto 前沿，部署损失随时间线性增长</w:t>
            </w:r>
          </w:p>
        </w:tc>
      </w:tr>
      <w:tr>
        <w:tc>
          <w:tcPr>
            <w:tcW w:w="2160" w:type="dxa"/>
          </w:tcPr>
          <w:p>
            <w:pPr>
              <w:spacing w:after="0"/>
            </w:pPr>
            <w:r>
              <w:t>移除顶层（CA-SBMS）</w:t>
            </w:r>
          </w:p>
        </w:tc>
        <w:tc>
          <w:tcPr>
            <w:tcW w:w="2736" w:type="dxa"/>
          </w:tcPr>
          <w:p>
            <w:pPr>
              <w:spacing w:after="0"/>
            </w:pPr>
            <w:r>
              <w:t>β_search、β_deploy 退化为固定常数</w:t>
            </w:r>
          </w:p>
        </w:tc>
        <w:tc>
          <w:tcPr>
            <w:tcW w:w="4032" w:type="dxa"/>
          </w:tcPr>
          <w:p>
            <w:pPr>
              <w:spacing w:after="0"/>
            </w:pPr>
            <w:r>
              <w:t>近似比损失项失去自适应曲率估计带来的紧界保证，系统无法应对搜索与部署边际收益的不对称性，效用损失退化为平凡界</w:t>
            </w:r>
          </w:p>
        </w:tc>
      </w:tr>
    </w:tbl>
    <w:p/>
    <w:p>
      <w:r>
        <w:t>结论：三层协同是保证系统端到端效用损失呈次线性增长（o(T)）的最小完备集合；去掉任一层，损失将退化为线性阶（Ω(T)）。附录 A.6 给出了对应的对抗性构造证明。</w:t>
      </w:r>
    </w:p>
    <w:p>
      <w:r>
        <w:br w:type="page"/>
      </w:r>
    </w:p>
    <w:p>
      <w:pPr>
        <w:pStyle w:val="Heading1"/>
      </w:pPr>
      <w:r>
        <w:t>第4章　与现有工作的精确边界（Related Work Positioning）</w:t>
      </w:r>
    </w:p>
    <w:p>
      <w:r>
        <w:t>本章按 Search 层、Deployment 层、Scheduling 层三部分，逐一列出本文与最相近现有工作的具体技术区别，遵循“先承认已有工作、再说明扩展点”的规范，作为原创性声明的直接证据。</w:t>
      </w:r>
    </w:p>
    <w:p>
      <w:pPr>
        <w:pStyle w:val="Heading2"/>
      </w:pPr>
      <w:r>
        <w:t>4.1　Search 层：生态位选择与多样性</w:t>
      </w:r>
    </w:p>
    <w:tbl>
      <w:tblPr>
        <w:tblStyle w:val="TableGrid"/>
        <w:tblW w:w="8928" w:type="dxa"/>
        <w:tblLayout w:type="fixed"/>
        <w:tblLook w:val="04A0" w:firstRow="1" w:lastRow="0" w:firstColumn="1" w:lastColumn="0" w:noHBand="0" w:noVBand="1"/>
      </w:tblPr>
      <w:tblGrid>
        <w:gridCol w:w="3312"/>
        <w:gridCol w:w="5616"/>
      </w:tblGrid>
      <w:tr>
        <w:trPr>
          <w:tblHeader/>
        </w:trPr>
        <w:tc>
          <w:tcPr>
            <w:tcW w:w="3312" w:type="dxa"/>
            <w:shd w:val="clear" w:color="auto" w:fill="F2F2F2"/>
          </w:tcPr>
          <w:p>
            <w:pPr>
              <w:spacing w:after="0"/>
            </w:pPr>
            <w:r>
              <w:rPr>
                <w:b/>
                <w:bCs/>
              </w:rPr>
              <w:t>相关工作</w:t>
            </w:r>
          </w:p>
        </w:tc>
        <w:tc>
          <w:tcPr>
            <w:tcW w:w="5616" w:type="dxa"/>
            <w:shd w:val="clear" w:color="auto" w:fill="F2F2F2"/>
          </w:tcPr>
          <w:p>
            <w:pPr>
              <w:spacing w:after="0"/>
            </w:pPr>
            <w:r>
              <w:rPr>
                <w:b/>
                <w:bCs/>
              </w:rPr>
              <w:t>核心区别</w:t>
            </w:r>
          </w:p>
        </w:tc>
      </w:tr>
      <w:tr>
        <w:tc>
          <w:tcPr>
            <w:tcW w:w="3312" w:type="dxa"/>
          </w:tcPr>
          <w:p>
            <w:pPr>
              <w:spacing w:after="0"/>
            </w:pPr>
            <w:r>
              <w:t>Sfikas et al. (2021)</w:t>
              <w:br/>
              <w:t>《Monte Carlo Elites: Quality-Diversity Selection as a Multi-Armed Bandit Problem》</w:t>
            </w:r>
          </w:p>
        </w:tc>
        <w:tc>
          <w:tcPr>
            <w:tcW w:w="5616" w:type="dxa"/>
          </w:tcPr>
          <w:p>
            <w:pPr>
              <w:spacing w:after="0"/>
            </w:pPr>
            <w:r>
              <w:t>属于单臂 MAB 选择，纯粹由质量驱动，不含多样性目标。本文提出的 CS-DPP-NI 引入了 DPP 次模多样性目标与 ACSR 防坍塌正则化，在保持质量的同时显著提升了多样性（Vendi Score）</w:t>
            </w:r>
          </w:p>
        </w:tc>
      </w:tr>
      <w:tr>
        <w:tc>
          <w:tcPr>
            <w:tcW w:w="3312" w:type="dxa"/>
          </w:tcPr>
          <w:p>
            <w:pPr>
              <w:spacing w:after="0"/>
            </w:pPr>
            <w:r>
              <w:t>EvoFlow (Zhang et al. 2025)</w:t>
            </w:r>
          </w:p>
        </w:tc>
        <w:tc>
          <w:tcPr>
            <w:tcW w:w="5616" w:type="dxa"/>
          </w:tcPr>
          <w:p>
            <w:pPr>
              <w:spacing w:after="0"/>
            </w:pPr>
            <w:r>
              <w:t>涉及 Niching 进化算法，但缺乏形式化的 Regret 理论保证。本文通过组合子集选择框架，提供了理论上的收敛性支持</w:t>
            </w:r>
          </w:p>
        </w:tc>
      </w:tr>
      <w:tr>
        <w:tc>
          <w:tcPr>
            <w:tcW w:w="3312" w:type="dxa"/>
          </w:tcPr>
          <w:p>
            <w:pPr>
              <w:spacing w:after="0"/>
            </w:pPr>
            <w:r>
              <w:t>AFlow (Zhang et al. 2024)</w:t>
            </w:r>
          </w:p>
        </w:tc>
        <w:tc>
          <w:tcPr>
            <w:tcW w:w="5616" w:type="dxa"/>
          </w:tcPr>
          <w:p>
            <w:pPr>
              <w:spacing w:after="0"/>
            </w:pPr>
            <w:r>
              <w:t>本文沿用其代码化工作流的基因型编码思想，但在搜索机制上从基础的工作流搜索扩展到了具备抗坍塌能力的生态位搜索</w:t>
            </w:r>
          </w:p>
        </w:tc>
      </w:tr>
    </w:tbl>
    <w:p/>
    <w:p>
      <w:pPr>
        <w:pStyle w:val="Heading2"/>
      </w:pPr>
      <w:r>
        <w:t>4.2　Deployment 层：多目标路由与部署</w:t>
      </w:r>
    </w:p>
    <w:tbl>
      <w:tblPr>
        <w:tblStyle w:val="TableGrid"/>
        <w:tblW w:w="8928" w:type="dxa"/>
        <w:tblLayout w:type="fixed"/>
        <w:tblLook w:val="04A0" w:firstRow="1" w:lastRow="0" w:firstColumn="1" w:lastColumn="0" w:noHBand="0" w:noVBand="1"/>
      </w:tblPr>
      <w:tblGrid>
        <w:gridCol w:w="3312"/>
        <w:gridCol w:w="5616"/>
      </w:tblGrid>
      <w:tr>
        <w:trPr>
          <w:tblHeader/>
        </w:trPr>
        <w:tc>
          <w:tcPr>
            <w:tcW w:w="3312" w:type="dxa"/>
            <w:shd w:val="clear" w:color="auto" w:fill="F2F2F2"/>
          </w:tcPr>
          <w:p>
            <w:pPr>
              <w:spacing w:after="0"/>
            </w:pPr>
            <w:r>
              <w:rPr>
                <w:b/>
                <w:bCs/>
              </w:rPr>
              <w:t>相关工作</w:t>
            </w:r>
          </w:p>
        </w:tc>
        <w:tc>
          <w:tcPr>
            <w:tcW w:w="5616" w:type="dxa"/>
            <w:shd w:val="clear" w:color="auto" w:fill="F2F2F2"/>
          </w:tcPr>
          <w:p>
            <w:pPr>
              <w:spacing w:after="0"/>
            </w:pPr>
            <w:r>
              <w:rPr>
                <w:b/>
                <w:bCs/>
              </w:rPr>
              <w:t>核心区别</w:t>
            </w:r>
          </w:p>
        </w:tc>
      </w:tr>
      <w:tr>
        <w:tc>
          <w:tcPr>
            <w:tcW w:w="3312" w:type="dxa"/>
          </w:tcPr>
          <w:p>
            <w:pPr>
              <w:spacing w:after="0"/>
            </w:pPr>
            <w:r>
              <w:t>Xu et al. (2023)</w:t>
              <w:br/>
              <w:t>《Pareto Regret Analyses in Multi-objective Multi-armed Bandit》(ICML)</w:t>
            </w:r>
          </w:p>
        </w:tc>
        <w:tc>
          <w:tcPr>
            <w:tcW w:w="5616" w:type="dxa"/>
          </w:tcPr>
          <w:p>
            <w:pPr>
              <w:spacing w:after="0"/>
            </w:pPr>
            <w:r>
              <w:t>现有的 Pareto-MOMAB 研究通常针对静态或有限的动作集。本文引入了 OFUL 框架（线性上下文结构），并设计了 BiG-LinUCB 双头更新机制，能够有效处理动态增长的动作集，并实现多目标 Pareto 路由</w:t>
            </w:r>
          </w:p>
        </w:tc>
      </w:tr>
      <w:tr>
        <w:tc>
          <w:tcPr>
            <w:tcW w:w="3312" w:type="dxa"/>
          </w:tcPr>
          <w:p>
            <w:pPr>
              <w:spacing w:after="0"/>
            </w:pPr>
            <w:r>
              <w:t>MaAS (Zhang et al. 2025，ICML Oral)</w:t>
            </w:r>
          </w:p>
        </w:tc>
        <w:tc>
          <w:tcPr>
            <w:tcW w:w="5616" w:type="dxa"/>
          </w:tcPr>
          <w:p>
            <w:pPr>
              <w:spacing w:after="0"/>
            </w:pPr>
            <w:r>
              <w:t>侧重于 Supernet 采样，缺乏多目标 Pareto 路由机制</w:t>
            </w:r>
          </w:p>
        </w:tc>
      </w:tr>
    </w:tbl>
    <w:p/>
    <w:p>
      <w:pPr>
        <w:pStyle w:val="Heading2"/>
      </w:pPr>
      <w:r>
        <w:t>4.3　Scheduling 层：预算调度与次模优化</w:t>
      </w:r>
    </w:p>
    <w:tbl>
      <w:tblPr>
        <w:tblStyle w:val="TableGrid"/>
        <w:tblW w:w="8928" w:type="dxa"/>
        <w:tblLayout w:type="fixed"/>
        <w:tblLook w:val="04A0" w:firstRow="1" w:lastRow="0" w:firstColumn="1" w:lastColumn="0" w:noHBand="0" w:noVBand="1"/>
      </w:tblPr>
      <w:tblGrid>
        <w:gridCol w:w="3312"/>
        <w:gridCol w:w="5616"/>
      </w:tblGrid>
      <w:tr>
        <w:trPr>
          <w:tblHeader/>
        </w:trPr>
        <w:tc>
          <w:tcPr>
            <w:tcW w:w="3312" w:type="dxa"/>
            <w:shd w:val="clear" w:color="auto" w:fill="F2F2F2"/>
          </w:tcPr>
          <w:p>
            <w:pPr>
              <w:spacing w:after="0"/>
            </w:pPr>
            <w:r>
              <w:rPr>
                <w:b/>
                <w:bCs/>
              </w:rPr>
              <w:t>相关工作</w:t>
            </w:r>
          </w:p>
        </w:tc>
        <w:tc>
          <w:tcPr>
            <w:tcW w:w="5616" w:type="dxa"/>
            <w:shd w:val="clear" w:color="auto" w:fill="F2F2F2"/>
          </w:tcPr>
          <w:p>
            <w:pPr>
              <w:spacing w:after="0"/>
            </w:pPr>
            <w:r>
              <w:rPr>
                <w:b/>
                <w:bCs/>
              </w:rPr>
              <w:t>核心区别</w:t>
            </w:r>
          </w:p>
        </w:tc>
      </w:tr>
      <w:tr>
        <w:tc>
          <w:tcPr>
            <w:tcW w:w="3312" w:type="dxa"/>
          </w:tcPr>
          <w:p>
            <w:pPr>
              <w:spacing w:after="0"/>
            </w:pPr>
            <w:r>
              <w:t>Vondrák (2010)</w:t>
              <w:br/>
              <w:t>《Submodularity and Curvature: The Optimal Algorithm》</w:t>
            </w:r>
          </w:p>
        </w:tc>
        <w:tc>
          <w:tcPr>
            <w:tcW w:w="5616" w:type="dxa"/>
          </w:tcPr>
          <w:p>
            <w:pPr>
              <w:spacing w:after="0"/>
            </w:pPr>
            <w:r>
              <w:t>提供的是离线且已知曲率下的贪心近似比 (1-e^(-γ))/γ。本文提出了在线未知曲率的置信估计器 γ̂_t 及其集中界，使近似比成为自适应的动态值，而非固定已知值</w:t>
            </w:r>
          </w:p>
        </w:tc>
      </w:tr>
      <w:tr>
        <w:tc>
          <w:tcPr>
            <w:tcW w:w="3312" w:type="dxa"/>
          </w:tcPr>
          <w:p>
            <w:pPr>
              <w:spacing w:after="0"/>
            </w:pPr>
            <w:r>
              <w:t>Chen &amp; Crawford (2025)</w:t>
              <w:br/>
              <w:t>《Linear Submodular Maximization with Bandit Feedback》(AISTATS)</w:t>
            </w:r>
          </w:p>
        </w:tc>
        <w:tc>
          <w:tcPr>
            <w:tcW w:w="5616" w:type="dxa"/>
          </w:tcPr>
          <w:p>
            <w:pPr>
              <w:spacing w:after="0"/>
            </w:pPr>
            <w:r>
              <w:t>侧重于“纯探索”（Pure-exploration）模式下的曲率感知。本文则针对“遗憾最小化”（Regret-minimization）设定，采用标准 OFUL 改进，不直接套用其定理</w:t>
            </w:r>
          </w:p>
        </w:tc>
      </w:tr>
      <w:tr>
        <w:tc>
          <w:tcPr>
            <w:tcW w:w="3312" w:type="dxa"/>
          </w:tcPr>
          <w:p>
            <w:pPr>
              <w:spacing w:after="0"/>
            </w:pPr>
            <w:r>
              <w:t>Streeter &amp; Golovin (2008)</w:t>
              <w:br/>
              <w:t>《An Online Algorithm for Maximizing Submodular Functions》(NeurIPS)</w:t>
            </w:r>
          </w:p>
        </w:tc>
        <w:tc>
          <w:tcPr>
            <w:tcW w:w="5616" w:type="dxa"/>
          </w:tcPr>
          <w:p>
            <w:pPr>
              <w:spacing w:after="0"/>
            </w:pPr>
            <w:r>
              <w:t>本文顶层理论分析范式的来源。本文沿用其在线次模最大化的 Regret 框架，但通过引入在线曲率估计器超越了其原始假设</w:t>
            </w:r>
          </w:p>
        </w:tc>
      </w:tr>
    </w:tbl>
    <w:p/>
    <w:p>
      <w:r>
        <w:t>总结：本文的边界界定遵循“先承认已有工作、再说明扩展点”的规范。核心贡献在于三层复合定理（第 3.4 节）——即使每一层的基础工具在文献中均有对应范式，本文通过预算比例加权将三层耦合在一起，证明了去掉任一层都会导致端到端效用损失不等式退化。这种系统性的耦合与理论证明是现有单层工作所不具备的。</w:t>
      </w:r>
    </w:p>
    <w:p>
      <w:r>
        <w:br w:type="page"/>
      </w:r>
    </w:p>
    <w:p>
      <w:pPr>
        <w:pStyle w:val="Heading1"/>
      </w:pPr>
      <w:r>
        <w:t>第5章　资源可行性与预算</w:t>
      </w:r>
    </w:p>
    <w:p>
      <w:pPr>
        <w:pStyle w:val="Heading2"/>
      </w:pPr>
      <w:r>
        <w:t>5.1　硬件与模型配置</w:t>
      </w:r>
    </w:p>
    <w:p>
      <w:pPr>
        <w:pStyle w:val="ListParagraph"/>
        <w:numPr>
          <w:ilvl w:val="0"/>
          <w:numId w:val="3"/>
        </w:numPr>
      </w:pPr>
      <w:r>
        <w:t>单张 NVIDIA RTX 4090（24GB 显存）。</w:t>
      </w:r>
    </w:p>
    <w:p>
      <w:pPr>
        <w:pStyle w:val="ListParagraph"/>
        <w:numPr>
          <w:ilvl w:val="0"/>
          <w:numId w:val="3"/>
        </w:numPr>
      </w:pPr>
      <w:r>
        <w:t>本地模型：Qwen2.5-7B-Instruct，4-bit 量化（必要时可切换至 8-bit）。</w:t>
      </w:r>
    </w:p>
    <w:p>
      <w:pPr>
        <w:pStyle w:val="ListParagraph"/>
        <w:numPr>
          <w:ilvl w:val="0"/>
          <w:numId w:val="3"/>
        </w:numPr>
      </w:pPr>
      <w:r>
        <w:t>预计总运行时间：70–115 GPU 小时（约 1–2 周墙钟时间）。</w:t>
      </w:r>
    </w:p>
    <w:p>
      <w:pPr>
        <w:pStyle w:val="ListParagraph"/>
        <w:numPr>
          <w:ilvl w:val="0"/>
          <w:numId w:val="3"/>
        </w:numPr>
      </w:pPr>
      <w:r>
        <w:t>API 预算：针对 10 个公开基准数据集的完整实验，总预算控制在 $140–$200 之间。</w:t>
      </w:r>
    </w:p>
    <w:p>
      <w:pPr>
        <w:pStyle w:val="ListParagraph"/>
        <w:numPr>
          <w:ilvl w:val="0"/>
          <w:numId w:val="3"/>
        </w:numPr>
      </w:pPr>
      <w:r>
        <w:t>预算控制策略：采用分层评测策略——先用代理预测器筛选，仅对高潜力候选进行真实 API 评测，从而严格控制开销。</w:t>
      </w:r>
    </w:p>
    <w:p>
      <w:pPr>
        <w:pStyle w:val="Heading2"/>
      </w:pPr>
      <w:r>
        <w:t>5.2　计算复杂度分析</w:t>
      </w:r>
    </w:p>
    <w:tbl>
      <w:tblPr>
        <w:tblStyle w:val="TableGrid"/>
        <w:tblW w:w="8928" w:type="dxa"/>
        <w:tblLayout w:type="fixed"/>
        <w:tblLook w:val="04A0" w:firstRow="1" w:lastRow="0" w:firstColumn="1" w:lastColumn="0" w:noHBand="0" w:noVBand="1"/>
      </w:tblPr>
      <w:tblGrid>
        <w:gridCol w:w="3888"/>
        <w:gridCol w:w="3024"/>
        <w:gridCol w:w="2016"/>
      </w:tblGrid>
      <w:tr>
        <w:trPr>
          <w:tblHeader/>
        </w:trPr>
        <w:tc>
          <w:tcPr>
            <w:tcW w:w="3888" w:type="dxa"/>
            <w:shd w:val="clear" w:color="auto" w:fill="F2F2F2"/>
          </w:tcPr>
          <w:p>
            <w:pPr>
              <w:spacing w:after="0"/>
            </w:pPr>
            <w:r>
              <w:rPr>
                <w:b/>
                <w:bCs/>
              </w:rPr>
              <w:t>组件</w:t>
            </w:r>
          </w:p>
        </w:tc>
        <w:tc>
          <w:tcPr>
            <w:tcW w:w="3024" w:type="dxa"/>
            <w:shd w:val="clear" w:color="auto" w:fill="F2F2F2"/>
          </w:tcPr>
          <w:p>
            <w:pPr>
              <w:spacing w:after="0"/>
            </w:pPr>
            <w:r>
              <w:rPr>
                <w:b/>
                <w:bCs/>
              </w:rPr>
              <w:t>计算复杂度</w:t>
            </w:r>
          </w:p>
        </w:tc>
        <w:tc>
          <w:tcPr>
            <w:tcW w:w="2016" w:type="dxa"/>
            <w:shd w:val="clear" w:color="auto" w:fill="F2F2F2"/>
          </w:tcPr>
          <w:p>
            <w:pPr>
              <w:spacing w:after="0"/>
            </w:pPr>
            <w:r>
              <w:rPr>
                <w:b/>
                <w:bCs/>
              </w:rPr>
              <w:t>计算设备</w:t>
            </w:r>
          </w:p>
        </w:tc>
      </w:tr>
      <w:tr>
        <w:tc>
          <w:tcPr>
            <w:tcW w:w="3888" w:type="dxa"/>
          </w:tcPr>
          <w:p>
            <w:pPr>
              <w:spacing w:after="0"/>
            </w:pPr>
            <w:r>
              <w:t>外层：贪心子集选择</w:t>
            </w:r>
          </w:p>
        </w:tc>
        <w:tc>
          <w:tcPr>
            <w:tcW w:w="3024" w:type="dxa"/>
          </w:tcPr>
          <w:p>
            <w:pPr>
              <w:spacing w:after="0"/>
            </w:pPr>
            <w:r>
              <w:t>O(k · N · d_e²)</w:t>
            </w:r>
          </w:p>
        </w:tc>
        <w:tc>
          <w:tcPr>
            <w:tcW w:w="2016" w:type="dxa"/>
          </w:tcPr>
          <w:p>
            <w:pPr>
              <w:spacing w:after="0"/>
            </w:pPr>
            <w:r>
              <w:t>CPU</w:t>
            </w:r>
          </w:p>
        </w:tc>
      </w:tr>
      <w:tr>
        <w:tc>
          <w:tcPr>
            <w:tcW w:w="3888" w:type="dxa"/>
          </w:tcPr>
          <w:p>
            <w:pPr>
              <w:spacing w:after="0"/>
            </w:pPr>
            <w:r>
              <w:t>外层：密度过滤</w:t>
            </w:r>
          </w:p>
        </w:tc>
        <w:tc>
          <w:tcPr>
            <w:tcW w:w="3024" w:type="dxa"/>
          </w:tcPr>
          <w:p>
            <w:pPr>
              <w:spacing w:after="0"/>
            </w:pPr>
            <w:r>
              <w:t>O(N)</w:t>
            </w:r>
          </w:p>
        </w:tc>
        <w:tc>
          <w:tcPr>
            <w:tcW w:w="2016" w:type="dxa"/>
          </w:tcPr>
          <w:p>
            <w:pPr>
              <w:spacing w:after="0"/>
            </w:pPr>
            <w:r>
              <w:t>CPU</w:t>
            </w:r>
          </w:p>
        </w:tc>
      </w:tr>
      <w:tr>
        <w:tc>
          <w:tcPr>
            <w:tcW w:w="3888" w:type="dxa"/>
          </w:tcPr>
          <w:p>
            <w:pPr>
              <w:spacing w:after="0"/>
            </w:pPr>
            <w:r>
              <w:t>中层：双头 OFUL 更新</w:t>
            </w:r>
          </w:p>
        </w:tc>
        <w:tc>
          <w:tcPr>
            <w:tcW w:w="3024" w:type="dxa"/>
          </w:tcPr>
          <w:p>
            <w:pPr>
              <w:spacing w:after="0"/>
            </w:pPr>
            <w:r>
              <w:t>O(|E_k| · d_φ²)</w:t>
            </w:r>
          </w:p>
        </w:tc>
        <w:tc>
          <w:tcPr>
            <w:tcW w:w="2016" w:type="dxa"/>
          </w:tcPr>
          <w:p>
            <w:pPr>
              <w:spacing w:after="0"/>
            </w:pPr>
            <w:r>
              <w:t>CPU</w:t>
            </w:r>
          </w:p>
        </w:tc>
      </w:tr>
      <w:tr>
        <w:tc>
          <w:tcPr>
            <w:tcW w:w="3888" w:type="dxa"/>
          </w:tcPr>
          <w:p>
            <w:pPr>
              <w:spacing w:after="0"/>
            </w:pPr>
            <w:r>
              <w:t>顶层：在线曲率估计器（滑动窗口）</w:t>
            </w:r>
          </w:p>
        </w:tc>
        <w:tc>
          <w:tcPr>
            <w:tcW w:w="3024" w:type="dxa"/>
          </w:tcPr>
          <w:p>
            <w:pPr>
              <w:spacing w:after="0"/>
            </w:pPr>
            <w:r>
              <w:t>O(1)（均摊）</w:t>
            </w:r>
          </w:p>
        </w:tc>
        <w:tc>
          <w:tcPr>
            <w:tcW w:w="2016" w:type="dxa"/>
          </w:tcPr>
          <w:p>
            <w:pPr>
              <w:spacing w:after="0"/>
            </w:pPr>
            <w:r>
              <w:t>CPU</w:t>
            </w:r>
          </w:p>
        </w:tc>
      </w:tr>
      <w:tr>
        <w:tc>
          <w:tcPr>
            <w:tcW w:w="3888" w:type="dxa"/>
          </w:tcPr>
          <w:p>
            <w:pPr>
              <w:spacing w:after="0"/>
            </w:pPr>
            <w:r>
              <w:t>顶层：线性老虎机调度决策</w:t>
            </w:r>
          </w:p>
        </w:tc>
        <w:tc>
          <w:tcPr>
            <w:tcW w:w="3024" w:type="dxa"/>
          </w:tcPr>
          <w:p>
            <w:pPr>
              <w:spacing w:after="0"/>
            </w:pPr>
            <w:r>
              <w:t>O(d_φ²)</w:t>
            </w:r>
          </w:p>
        </w:tc>
        <w:tc>
          <w:tcPr>
            <w:tcW w:w="2016" w:type="dxa"/>
          </w:tcPr>
          <w:p>
            <w:pPr>
              <w:spacing w:after="0"/>
            </w:pPr>
            <w:r>
              <w:t>CPU</w:t>
            </w:r>
          </w:p>
        </w:tc>
      </w:tr>
    </w:tbl>
    <w:p/>
    <w:p>
      <w:r>
        <w:t>说明：上述所有算法组件（搜索、路由、调度）均在 CPU 端进行矩阵或统计运算，GPU 资源仅专门用于本地模型（Qwen2.5-7B）的推理任务，不占用 GPU 资源用于 bandit/调度计算。这一设计使新增的理论加固组件（在线曲率估计器等）完全不引入额外的 GPU 开销。</w:t>
      </w:r>
    </w:p>
    <w:p>
      <w:pPr>
        <w:pStyle w:val="Heading2"/>
      </w:pPr>
      <w:r>
        <w:t>5.3　数据集与实现可行性</w:t>
      </w:r>
    </w:p>
    <w:p>
      <w:r>
        <w:t>实验复用 10 个公开基准数据集，覆盖代码生成、数学推理、问答及复杂推理与规划四大类：</w:t>
      </w:r>
    </w:p>
    <w:tbl>
      <w:tblPr>
        <w:tblStyle w:val="TableGrid"/>
        <w:tblW w:w="8928" w:type="dxa"/>
        <w:tblLayout w:type="fixed"/>
        <w:tblLook w:val="04A0" w:firstRow="1" w:lastRow="0" w:firstColumn="1" w:lastColumn="0" w:noHBand="0" w:noVBand="1"/>
      </w:tblPr>
      <w:tblGrid>
        <w:gridCol w:w="4752"/>
        <w:gridCol w:w="4176"/>
      </w:tblGrid>
      <w:tr>
        <w:trPr>
          <w:tblHeader/>
        </w:trPr>
        <w:tc>
          <w:tcPr>
            <w:tcW w:w="4752" w:type="dxa"/>
            <w:shd w:val="clear" w:color="auto" w:fill="F2F2F2"/>
          </w:tcPr>
          <w:p>
            <w:pPr>
              <w:spacing w:after="0"/>
            </w:pPr>
            <w:r>
              <w:rPr>
                <w:b/>
                <w:bCs/>
              </w:rPr>
              <w:t>类别</w:t>
            </w:r>
          </w:p>
        </w:tc>
        <w:tc>
          <w:tcPr>
            <w:tcW w:w="4176" w:type="dxa"/>
            <w:shd w:val="clear" w:color="auto" w:fill="F2F2F2"/>
          </w:tcPr>
          <w:p>
            <w:pPr>
              <w:spacing w:after="0"/>
            </w:pPr>
            <w:r>
              <w:rPr>
                <w:b/>
                <w:bCs/>
              </w:rPr>
              <w:t>数据集</w:t>
            </w:r>
          </w:p>
        </w:tc>
      </w:tr>
      <w:tr>
        <w:tc>
          <w:tcPr>
            <w:tcW w:w="4752" w:type="dxa"/>
          </w:tcPr>
          <w:p>
            <w:pPr>
              <w:spacing w:after="0"/>
            </w:pPr>
            <w:r>
              <w:t>代码生成 (Code Generation)</w:t>
            </w:r>
          </w:p>
        </w:tc>
        <w:tc>
          <w:tcPr>
            <w:tcW w:w="4176" w:type="dxa"/>
          </w:tcPr>
          <w:p>
            <w:pPr>
              <w:spacing w:after="0"/>
            </w:pPr>
            <w:r>
              <w:t>HumanEval, MBPP</w:t>
            </w:r>
          </w:p>
        </w:tc>
      </w:tr>
      <w:tr>
        <w:tc>
          <w:tcPr>
            <w:tcW w:w="4752" w:type="dxa"/>
          </w:tcPr>
          <w:p>
            <w:pPr>
              <w:spacing w:after="0"/>
            </w:pPr>
            <w:r>
              <w:t>数学推理 (Math Reasoning)</w:t>
            </w:r>
          </w:p>
        </w:tc>
        <w:tc>
          <w:tcPr>
            <w:tcW w:w="4176" w:type="dxa"/>
          </w:tcPr>
          <w:p>
            <w:pPr>
              <w:spacing w:after="0"/>
            </w:pPr>
            <w:r>
              <w:t>GSM8K, MATH</w:t>
            </w:r>
          </w:p>
        </w:tc>
      </w:tr>
      <w:tr>
        <w:tc>
          <w:tcPr>
            <w:tcW w:w="4752" w:type="dxa"/>
          </w:tcPr>
          <w:p>
            <w:pPr>
              <w:spacing w:after="0"/>
            </w:pPr>
            <w:r>
              <w:t>问答与阅读理解 (QA/Reading Comprehension)</w:t>
            </w:r>
          </w:p>
        </w:tc>
        <w:tc>
          <w:tcPr>
            <w:tcW w:w="4176" w:type="dxa"/>
          </w:tcPr>
          <w:p>
            <w:pPr>
              <w:spacing w:after="0"/>
            </w:pPr>
            <w:r>
              <w:t>HotpotQA, DROP, MMLU-Pro</w:t>
            </w:r>
          </w:p>
        </w:tc>
      </w:tr>
      <w:tr>
        <w:tc>
          <w:tcPr>
            <w:tcW w:w="4752" w:type="dxa"/>
          </w:tcPr>
          <w:p>
            <w:pPr>
              <w:spacing w:after="0"/>
            </w:pPr>
            <w:r>
              <w:t>复杂推理与规划 (Complex Reasoning &amp; Planning)</w:t>
            </w:r>
          </w:p>
        </w:tc>
        <w:tc>
          <w:tcPr>
            <w:tcW w:w="4176" w:type="dxa"/>
          </w:tcPr>
          <w:p>
            <w:pPr>
              <w:spacing w:after="0"/>
            </w:pPr>
            <w:r>
              <w:t>GPQA, GAIA, TravelPlanner</w:t>
            </w:r>
          </w:p>
        </w:tc>
      </w:tr>
    </w:tbl>
    <w:p/>
    <w:p>
      <w:r>
        <w:t>实验对比 11 个 baseline（如 AFlow、ADAS、MaAS、EvoFlow 等），这些方法均有公开代码实现，确保了实验的可复现性。</w:t>
      </w:r>
    </w:p>
    <w:p>
      <w:r>
        <w:t>小结：GPU 资源需求仅涉及单卡（RTX 4090），配合 4-bit 量化和 CPU/GPU 任务分离的设计，该方案对个人开发者或小型实验室友好，是典型的单卡友好型方案。</w:t>
      </w:r>
    </w:p>
    <w:p>
      <w:r>
        <w:br w:type="page"/>
      </w:r>
    </w:p>
    <w:p>
      <w:pPr>
        <w:pStyle w:val="Heading1"/>
      </w:pPr>
      <w:r>
        <w:t>第6章　实验验证与评估设计</w:t>
      </w:r>
    </w:p>
    <w:p>
      <w:pPr>
        <w:pStyle w:val="Heading2"/>
      </w:pPr>
      <w:r>
        <w:t>6.1　消融⑨：CS-DPP-NI 组合选择 vs 单臂选择基线</w:t>
      </w:r>
    </w:p>
    <w:p>
      <w:r>
        <w:t>对比机制：CS-DPP-NI（组合子集选择 + DPP 次模多样性目标 + ACSR 正则化） vs 3.3 版本单臂 Sleeping Bandit 选择（逐个 niche 独立计算 UCB 后进行 DPP 采样） vs Sfikas et al. (2021) 式单臂 MAB 选择（不含 DPP 多样性目标，纯质量驱动的单臂选择，即 Monte Carlo Elites 复现）。</w:t>
      </w:r>
    </w:p>
    <w:p>
      <w:r>
        <w:t>评估指标：多样性（Vendi Score）、质量（最终 Pass@k）、收敛速度（组合遗憾曲线 R_T^QD 的实证收敛速度）。</w:t>
      </w:r>
    </w:p>
    <w:p>
      <w:r>
        <w:t>预期结果：CS-DPP-NI 在保持质量的同时，Vendi Score 显著更高，且组合遗憾曲线收敛速度快于单臂基线（因其在同一轮次内探索了更多 niche 的联合效应）。</w:t>
      </w:r>
    </w:p>
    <w:p>
      <w:pPr>
        <w:pStyle w:val="Heading2"/>
      </w:pPr>
      <w:r>
        <w:t>6.2　消融⑩：在线曲率估计 vs 固定曲率假设</w:t>
      </w:r>
    </w:p>
    <w:p>
      <w:r>
        <w:t>对比策略：CA-SBMS 加固版（在线曲率估计器 γ̂_t + 自适应近似比调度） vs 固定假设基线（γ=1 退化为经典 1-1/e，即 3.3 版本回退基线） vs Oracle 上界（通过离线预计算真实曲率得到的理论上界，用于衡量差距）。</w:t>
      </w:r>
    </w:p>
    <w:p>
      <w:r>
        <w:t>评估指标：相同总预算下的最终 Pareto 超体积、在线估计曲率 γ̂_t 的收敛轨迹、调度决策的累积遗憾 R_T^CA-SBMS。</w:t>
      </w:r>
    </w:p>
    <w:p>
      <w:r>
        <w:t>预期结果：在线估计的曲率显著小于 1，验证效用函数的非平凡曲率结构；CA-SBMS 的性能介于固定假设与 Oracle 之间，并随窗口长度 w 增大而逼近 Oracle。</w:t>
      </w:r>
    </w:p>
    <w:p>
      <w:pPr>
        <w:pStyle w:val="Heading2"/>
      </w:pPr>
      <w:r>
        <w:t>6.3　沿用的核心实验（①–⑧）</w:t>
      </w:r>
    </w:p>
    <w:tbl>
      <w:tblPr>
        <w:tblStyle w:val="TableGrid"/>
        <w:tblW w:w="8928" w:type="dxa"/>
        <w:tblLayout w:type="fixed"/>
        <w:tblLook w:val="04A0" w:firstRow="1" w:lastRow="0" w:firstColumn="1" w:lastColumn="0" w:noHBand="0" w:noVBand="1"/>
      </w:tblPr>
      <w:tblGrid>
        <w:gridCol w:w="864"/>
        <w:gridCol w:w="2448"/>
        <w:gridCol w:w="5616"/>
      </w:tblGrid>
      <w:tr>
        <w:trPr>
          <w:tblHeader/>
        </w:trPr>
        <w:tc>
          <w:tcPr>
            <w:tcW w:w="864" w:type="dxa"/>
            <w:shd w:val="clear" w:color="auto" w:fill="F2F2F2"/>
          </w:tcPr>
          <w:p>
            <w:pPr>
              <w:spacing w:after="0"/>
            </w:pPr>
            <w:r>
              <w:rPr>
                <w:b/>
                <w:bCs/>
              </w:rPr>
              <w:t>编号</w:t>
            </w:r>
          </w:p>
        </w:tc>
        <w:tc>
          <w:tcPr>
            <w:tcW w:w="2448" w:type="dxa"/>
            <w:shd w:val="clear" w:color="auto" w:fill="F2F2F2"/>
          </w:tcPr>
          <w:p>
            <w:pPr>
              <w:spacing w:after="0"/>
            </w:pPr>
            <w:r>
              <w:rPr>
                <w:b/>
                <w:bCs/>
              </w:rPr>
              <w:t>实验内容</w:t>
            </w:r>
          </w:p>
        </w:tc>
        <w:tc>
          <w:tcPr>
            <w:tcW w:w="5616" w:type="dxa"/>
            <w:shd w:val="clear" w:color="auto" w:fill="F2F2F2"/>
          </w:tcPr>
          <w:p>
            <w:pPr>
              <w:spacing w:after="0"/>
            </w:pPr>
            <w:r>
              <w:rPr>
                <w:b/>
                <w:bCs/>
              </w:rPr>
              <w:t>目的</w:t>
            </w:r>
          </w:p>
        </w:tc>
      </w:tr>
      <w:tr>
        <w:tc>
          <w:tcPr>
            <w:tcW w:w="864" w:type="dxa"/>
          </w:tcPr>
          <w:p>
            <w:pPr>
              <w:spacing w:after="0"/>
            </w:pPr>
            <w:r>
              <w:t>①</w:t>
            </w:r>
          </w:p>
        </w:tc>
        <w:tc>
          <w:tcPr>
            <w:tcW w:w="2448" w:type="dxa"/>
          </w:tcPr>
          <w:p>
            <w:pPr>
              <w:spacing w:after="0"/>
            </w:pPr>
            <w:r>
              <w:t>有效性对比</w:t>
            </w:r>
          </w:p>
        </w:tc>
        <w:tc>
          <w:tcPr>
            <w:tcW w:w="5616" w:type="dxa"/>
          </w:tcPr>
          <w:p>
            <w:pPr>
              <w:spacing w:after="0"/>
            </w:pPr>
            <w:r>
              <w:t>与 11 个 baseline 在 10 个 benchmark 上比较准确率、成本等，验证整体性能</w:t>
            </w:r>
          </w:p>
        </w:tc>
      </w:tr>
      <w:tr>
        <w:tc>
          <w:tcPr>
            <w:tcW w:w="864" w:type="dxa"/>
          </w:tcPr>
          <w:p>
            <w:pPr>
              <w:spacing w:after="0"/>
            </w:pPr>
            <w:r>
              <w:t>②</w:t>
            </w:r>
          </w:p>
        </w:tc>
        <w:tc>
          <w:tcPr>
            <w:tcW w:w="2448" w:type="dxa"/>
          </w:tcPr>
          <w:p>
            <w:pPr>
              <w:spacing w:after="0"/>
            </w:pPr>
            <w:r>
              <w:t>消融研究</w:t>
            </w:r>
          </w:p>
        </w:tc>
        <w:tc>
          <w:tcPr>
            <w:tcW w:w="5616" w:type="dxa"/>
          </w:tcPr>
          <w:p>
            <w:pPr>
              <w:spacing w:after="0"/>
            </w:pPr>
            <w:r>
              <w:t>各组件（PR-NI、CA-SBMS 等核心组件）贡献度分解，验证必要性</w:t>
            </w:r>
          </w:p>
        </w:tc>
      </w:tr>
      <w:tr>
        <w:tc>
          <w:tcPr>
            <w:tcW w:w="864" w:type="dxa"/>
          </w:tcPr>
          <w:p>
            <w:pPr>
              <w:spacing w:after="0"/>
            </w:pPr>
            <w:r>
              <w:t>③</w:t>
            </w:r>
          </w:p>
        </w:tc>
        <w:tc>
          <w:tcPr>
            <w:tcW w:w="2448" w:type="dxa"/>
          </w:tcPr>
          <w:p>
            <w:pPr>
              <w:spacing w:after="0"/>
            </w:pPr>
            <w:r>
              <w:t>可扩展性分析</w:t>
            </w:r>
          </w:p>
        </w:tc>
        <w:tc>
          <w:tcPr>
            <w:tcW w:w="5616" w:type="dxa"/>
          </w:tcPr>
          <w:p>
            <w:pPr>
              <w:spacing w:after="0"/>
            </w:pPr>
            <w:r>
              <w:t>任务规模/复杂度扩展下的性能变化，验证系统在更大规模问题上的可扩展性</w:t>
            </w:r>
          </w:p>
        </w:tc>
      </w:tr>
      <w:tr>
        <w:tc>
          <w:tcPr>
            <w:tcW w:w="864" w:type="dxa"/>
          </w:tcPr>
          <w:p>
            <w:pPr>
              <w:spacing w:after="0"/>
            </w:pPr>
            <w:r>
              <w:t>④</w:t>
            </w:r>
          </w:p>
        </w:tc>
        <w:tc>
          <w:tcPr>
            <w:tcW w:w="2448" w:type="dxa"/>
          </w:tcPr>
          <w:p>
            <w:pPr>
              <w:spacing w:after="0"/>
            </w:pPr>
            <w:r>
              <w:t>成本效率分析</w:t>
            </w:r>
          </w:p>
        </w:tc>
        <w:tc>
          <w:tcPr>
            <w:tcW w:w="5616" w:type="dxa"/>
          </w:tcPr>
          <w:p>
            <w:pPr>
              <w:spacing w:after="0"/>
            </w:pPr>
            <w:r>
              <w:t>质量-成本 Pareto 前沿对比，验证 BiG-LinUCB 的多目标路由效果</w:t>
            </w:r>
          </w:p>
        </w:tc>
      </w:tr>
      <w:tr>
        <w:tc>
          <w:tcPr>
            <w:tcW w:w="864" w:type="dxa"/>
          </w:tcPr>
          <w:p>
            <w:pPr>
              <w:spacing w:after="0"/>
            </w:pPr>
            <w:r>
              <w:t>⑤</w:t>
            </w:r>
          </w:p>
        </w:tc>
        <w:tc>
          <w:tcPr>
            <w:tcW w:w="2448" w:type="dxa"/>
          </w:tcPr>
          <w:p>
            <w:pPr>
              <w:spacing w:after="0"/>
            </w:pPr>
            <w:r>
              <w:t>鲁棒性测试</w:t>
            </w:r>
          </w:p>
        </w:tc>
        <w:tc>
          <w:tcPr>
            <w:tcW w:w="5616" w:type="dxa"/>
          </w:tcPr>
          <w:p>
            <w:pPr>
              <w:spacing w:after="0"/>
            </w:pPr>
            <w:r>
              <w:t>噪声/异常输入下的稳定性，验证系统工程稳健性</w:t>
            </w:r>
          </w:p>
        </w:tc>
      </w:tr>
      <w:tr>
        <w:tc>
          <w:tcPr>
            <w:tcW w:w="864" w:type="dxa"/>
          </w:tcPr>
          <w:p>
            <w:pPr>
              <w:spacing w:after="0"/>
            </w:pPr>
            <w:r>
              <w:t>⑥</w:t>
            </w:r>
          </w:p>
        </w:tc>
        <w:tc>
          <w:tcPr>
            <w:tcW w:w="2448" w:type="dxa"/>
          </w:tcPr>
          <w:p>
            <w:pPr>
              <w:spacing w:after="0"/>
            </w:pPr>
            <w:r>
              <w:t>收敛性验证</w:t>
            </w:r>
          </w:p>
        </w:tc>
        <w:tc>
          <w:tcPr>
            <w:tcW w:w="5616" w:type="dxa"/>
          </w:tcPr>
          <w:p>
            <w:pPr>
              <w:spacing w:after="0"/>
            </w:pPr>
            <w:r>
              <w:t>各层遗憾曲线的实证收敛速度，与理论遗憾界（定理1、定理2、命题2）对照</w:t>
            </w:r>
          </w:p>
        </w:tc>
      </w:tr>
      <w:tr>
        <w:tc>
          <w:tcPr>
            <w:tcW w:w="864" w:type="dxa"/>
          </w:tcPr>
          <w:p>
            <w:pPr>
              <w:spacing w:after="0"/>
            </w:pPr>
            <w:r>
              <w:t>⑦</w:t>
            </w:r>
          </w:p>
        </w:tc>
        <w:tc>
          <w:tcPr>
            <w:tcW w:w="2448" w:type="dxa"/>
          </w:tcPr>
          <w:p>
            <w:pPr>
              <w:spacing w:after="0"/>
            </w:pPr>
            <w:r>
              <w:t>跨域泛化</w:t>
            </w:r>
          </w:p>
        </w:tc>
        <w:tc>
          <w:tcPr>
            <w:tcW w:w="5616" w:type="dxa"/>
          </w:tcPr>
          <w:p>
            <w:pPr>
              <w:spacing w:after="0"/>
            </w:pPr>
            <w:r>
              <w:t>跨 benchmark 类别（代码/数学/问答/规划）的迁移能力</w:t>
            </w:r>
          </w:p>
        </w:tc>
      </w:tr>
      <w:tr>
        <w:tc>
          <w:tcPr>
            <w:tcW w:w="864" w:type="dxa"/>
          </w:tcPr>
          <w:p>
            <w:pPr>
              <w:spacing w:after="0"/>
            </w:pPr>
            <w:r>
              <w:t>⑧</w:t>
            </w:r>
          </w:p>
        </w:tc>
        <w:tc>
          <w:tcPr>
            <w:tcW w:w="2448" w:type="dxa"/>
          </w:tcPr>
          <w:p>
            <w:pPr>
              <w:spacing w:after="0"/>
            </w:pPr>
            <w:r>
              <w:t>人工评估（可选）</w:t>
            </w:r>
          </w:p>
        </w:tc>
        <w:tc>
          <w:tcPr>
            <w:tcW w:w="5616" w:type="dxa"/>
          </w:tcPr>
          <w:p>
            <w:pPr>
              <w:spacing w:after="0"/>
            </w:pPr>
            <w:r>
              <w:t>代码/答案质量的人工评分校验，作为自动指标的补充验证</w:t>
            </w:r>
          </w:p>
        </w:tc>
      </w:tr>
    </w:tbl>
    <w:p/>
    <w:p>
      <w:pPr>
        <w:pStyle w:val="Heading2"/>
      </w:pPr>
      <w:r>
        <w:t>6.4　评估指标体系汇总</w:t>
      </w:r>
    </w:p>
    <w:p>
      <w:r>
        <w:t>Vendi Score 的完整定义为：</w:t>
      </w:r>
    </w:p>
    <w:p>
      <m:oMathPara xmlns:m="http://schemas.openxmlformats.org/officeDocument/2006/math">
        <m:oMathParaPr>
          <m:jc m:val="center"/>
        </m:oMathParaPr>
        <m:oMath>
          <m:r>
            <m:t>VS(S)=</m:t>
          </m:r>
          <m:r>
            <m:rPr>
              <m:sty m:val="p"/>
            </m:rPr>
            <m:t>exp</m:t>
          </m:r>
          <m:d>
            <m:dPr>
              <m:begChr m:val="("/>
              <m:endChr m:val=")"/>
            </m:dPr>
            <m:e>
              <m:r>
                <m:t>H</m:t>
              </m:r>
              <m:d>
                <m:dPr>
                  <m:begChr m:val="("/>
                  <m:endChr m:val=")"/>
                </m:dPr>
                <m:e>
                  <m:f>
                    <m:num>
                      <m:r>
                        <m:t>λ(</m:t>
                      </m:r>
                      <m:sSub>
                        <m:e>
                          <m:r>
                            <m:t>K</m:t>
                          </m:r>
                        </m:e>
                        <m:sub>
                          <m:r>
                            <m:t>S</m:t>
                          </m:r>
                        </m:sub>
                      </m:sSub>
                      <m:r>
                        <m:t>)</m:t>
                      </m:r>
                    </m:num>
                    <m:den>
                      <m:r>
                        <m:t>tr(</m:t>
                      </m:r>
                      <m:sSub>
                        <m:e>
                          <m:r>
                            <m:t>K</m:t>
                          </m:r>
                        </m:e>
                        <m:sub>
                          <m:r>
                            <m:t>S</m:t>
                          </m:r>
                        </m:sub>
                      </m:sSub>
                      <m:r>
                        <m:t>)</m:t>
                      </m:r>
                    </m:den>
                  </m:f>
                </m:e>
              </m:d>
            </m:e>
          </m:d>
        </m:oMath>
      </m:oMathPara>
    </w:p>
    <w:p>
      <w:r>
        <w:t>其中 λ(K_S) 为核矩阵 K_S 的特征值集合，H(·) 为香农熵，tr(K_S) 为矩阵的迹。</w:t>
      </w:r>
    </w:p>
    <w:tbl>
      <w:tblPr>
        <w:tblStyle w:val="TableGrid"/>
        <w:tblW w:w="8928" w:type="dxa"/>
        <w:tblLayout w:type="fixed"/>
        <w:tblLook w:val="04A0" w:firstRow="1" w:lastRow="0" w:firstColumn="1" w:lastColumn="0" w:noHBand="0" w:noVBand="1"/>
      </w:tblPr>
      <w:tblGrid>
        <w:gridCol w:w="2160"/>
        <w:gridCol w:w="4032"/>
        <w:gridCol w:w="2736"/>
      </w:tblGrid>
      <w:tr>
        <w:trPr>
          <w:tblHeader/>
        </w:trPr>
        <w:tc>
          <w:tcPr>
            <w:tcW w:w="2160" w:type="dxa"/>
            <w:shd w:val="clear" w:color="auto" w:fill="F2F2F2"/>
          </w:tcPr>
          <w:p>
            <w:pPr>
              <w:spacing w:after="0"/>
            </w:pPr>
            <w:r>
              <w:rPr>
                <w:b/>
                <w:bCs/>
              </w:rPr>
              <w:t>指标名称</w:t>
            </w:r>
          </w:p>
        </w:tc>
        <w:tc>
          <w:tcPr>
            <w:tcW w:w="4032" w:type="dxa"/>
            <w:shd w:val="clear" w:color="auto" w:fill="F2F2F2"/>
          </w:tcPr>
          <w:p>
            <w:pPr>
              <w:spacing w:after="0"/>
            </w:pPr>
            <w:r>
              <w:rPr>
                <w:b/>
                <w:bCs/>
              </w:rPr>
              <w:t>定义/说明</w:t>
            </w:r>
          </w:p>
        </w:tc>
        <w:tc>
          <w:tcPr>
            <w:tcW w:w="2736" w:type="dxa"/>
            <w:shd w:val="clear" w:color="auto" w:fill="F2F2F2"/>
          </w:tcPr>
          <w:p>
            <w:pPr>
              <w:spacing w:after="0"/>
            </w:pPr>
            <w:r>
              <w:rPr>
                <w:b/>
                <w:bCs/>
              </w:rPr>
              <w:t>用途</w:t>
            </w:r>
          </w:p>
        </w:tc>
      </w:tr>
      <w:tr>
        <w:tc>
          <w:tcPr>
            <w:tcW w:w="2160" w:type="dxa"/>
          </w:tcPr>
          <w:p>
            <w:pPr>
              <w:spacing w:after="0"/>
            </w:pPr>
            <w:r>
              <w:t>Pass@k</w:t>
            </w:r>
          </w:p>
        </w:tc>
        <w:tc>
          <w:tcPr>
            <w:tcW w:w="4032" w:type="dxa"/>
          </w:tcPr>
          <w:p>
            <w:pPr>
              <w:spacing w:after="0"/>
            </w:pPr>
            <w:r>
              <w:t>标准代码/推理正确率指标（k 次采样中至少一次正确的比例）</w:t>
            </w:r>
          </w:p>
        </w:tc>
        <w:tc>
          <w:tcPr>
            <w:tcW w:w="2736" w:type="dxa"/>
          </w:tcPr>
          <w:p>
            <w:pPr>
              <w:spacing w:after="0"/>
            </w:pPr>
            <w:r>
              <w:t>衡量工作流最终输出质量</w:t>
            </w:r>
          </w:p>
        </w:tc>
      </w:tr>
      <w:tr>
        <w:tc>
          <w:tcPr>
            <w:tcW w:w="2160" w:type="dxa"/>
          </w:tcPr>
          <w:p>
            <w:pPr>
              <w:spacing w:after="0"/>
            </w:pPr>
            <w:r>
              <w:t>Vendi Score</w:t>
            </w:r>
          </w:p>
        </w:tc>
        <w:tc>
          <w:tcPr>
            <w:tcW w:w="4032" w:type="dxa"/>
          </w:tcPr>
          <w:p>
            <w:pPr>
              <w:spacing w:after="0"/>
            </w:pPr>
            <w:r>
              <w:t>VS(S) = exp(H(λ(K_S)/tr(K_S)))，衡量解集多样性</w:t>
            </w:r>
          </w:p>
        </w:tc>
        <w:tc>
          <w:tcPr>
            <w:tcW w:w="2736" w:type="dxa"/>
          </w:tcPr>
          <w:p>
            <w:pPr>
              <w:spacing w:after="0"/>
            </w:pPr>
            <w:r>
              <w:t>衡量外层搜索档案的多样性水平</w:t>
            </w:r>
          </w:p>
        </w:tc>
      </w:tr>
      <w:tr>
        <w:tc>
          <w:tcPr>
            <w:tcW w:w="2160" w:type="dxa"/>
          </w:tcPr>
          <w:p>
            <w:pPr>
              <w:spacing w:after="0"/>
            </w:pPr>
            <w:r>
              <w:t>Pareto 超体积 (Hypervolume)</w:t>
            </w:r>
          </w:p>
        </w:tc>
        <w:tc>
          <w:tcPr>
            <w:tcW w:w="4032" w:type="dxa"/>
          </w:tcPr>
          <w:p>
            <w:pPr>
              <w:spacing w:after="0"/>
            </w:pPr>
            <w:r>
              <w:t>多目标（质量-成本）前沿覆盖面积</w:t>
            </w:r>
          </w:p>
        </w:tc>
        <w:tc>
          <w:tcPr>
            <w:tcW w:w="2736" w:type="dxa"/>
          </w:tcPr>
          <w:p>
            <w:pPr>
              <w:spacing w:after="0"/>
            </w:pPr>
            <w:r>
              <w:t>衡量中层部署的多目标权衡效果</w:t>
            </w:r>
          </w:p>
        </w:tc>
      </w:tr>
      <w:tr>
        <w:tc>
          <w:tcPr>
            <w:tcW w:w="2160" w:type="dxa"/>
          </w:tcPr>
          <w:p>
            <w:pPr>
              <w:spacing w:after="0"/>
            </w:pPr>
            <w:r>
              <w:t>累积遗憾 R_T</w:t>
            </w:r>
          </w:p>
        </w:tc>
        <w:tc>
          <w:tcPr>
            <w:tcW w:w="4032" w:type="dxa"/>
          </w:tcPr>
          <w:p>
            <w:pPr>
              <w:spacing w:after="0"/>
            </w:pPr>
            <w:r>
              <w:t>各层理论遗憾界（定理1/2、命题2）的实证对应指标</w:t>
            </w:r>
          </w:p>
        </w:tc>
        <w:tc>
          <w:tcPr>
            <w:tcW w:w="2736" w:type="dxa"/>
          </w:tcPr>
          <w:p>
            <w:pPr>
              <w:spacing w:after="0"/>
            </w:pPr>
            <w:r>
              <w:t>验证理论保证与实证表现的一致性</w:t>
            </w:r>
          </w:p>
        </w:tc>
      </w:tr>
      <w:tr>
        <w:tc>
          <w:tcPr>
            <w:tcW w:w="2160" w:type="dxa"/>
          </w:tcPr>
          <w:p>
            <w:pPr>
              <w:spacing w:after="0"/>
            </w:pPr>
            <w:r>
              <w:t>API 成本</w:t>
            </w:r>
          </w:p>
        </w:tc>
        <w:tc>
          <w:tcPr>
            <w:tcW w:w="4032" w:type="dxa"/>
          </w:tcPr>
          <w:p>
            <w:pPr>
              <w:spacing w:after="0"/>
            </w:pPr>
            <w:r>
              <w:t>美元计量的实际调用开销</w:t>
            </w:r>
          </w:p>
        </w:tc>
        <w:tc>
          <w:tcPr>
            <w:tcW w:w="2736" w:type="dxa"/>
          </w:tcPr>
          <w:p>
            <w:pPr>
              <w:spacing w:after="0"/>
            </w:pPr>
            <w:r>
              <w:t>衡量实验/部署的经济成本，用于预算控制</w:t>
            </w:r>
          </w:p>
        </w:tc>
      </w:tr>
    </w:tbl>
    <w:p/>
    <w:p>
      <w:r>
        <w:t>说明：本章消融⑨⑩及核心实验①–⑧目前均处于“实验设计”阶段，尚未产生真实实验数据；“预期结果”为基于理论分析的方向性判断，真实数据将在第7章实施计划的第三阶段（实验运行阶段）产出，并用于反哺理论新颖性论证。本方案不在此处插入示意性图表，以避免与真实实验结果混淆。</w:t>
      </w:r>
    </w:p>
    <w:p>
      <w:r>
        <w:br w:type="page"/>
      </w:r>
    </w:p>
    <w:p>
      <w:pPr>
        <w:pStyle w:val="Heading1"/>
      </w:pPr>
      <w:r>
        <w:t>第7章　实施计划（新增章节）</w:t>
      </w:r>
    </w:p>
    <w:p>
      <w:r>
        <w:t>本章为本方案在原技术报告基础上新增的内容，原报告未包含具体实施时间线。以下按周为单位设计分阶段实施计划，覆盖环境搭建、算法实现、实验运行、结果分析与论文撰写全流程，并将 GPU 小时与 API 预算分配落实到各阶段，确保总量落在第5章给出的 70–115 GPU 小时、$140–$200 预算范围内。</w:t>
      </w:r>
    </w:p>
    <w:p>
      <w:pPr>
        <w:sectPr>
          <w:headerReference w:type="default" r:id="rId5"/>
          <w:headerReference w:type="first" r:id="rId6"/>
          <w:footerReference w:type="default" r:id="rId7"/>
          <w:footerReference w:type="first" r:id="rId8"/>
          <w:pgSz w:w="11906" w:h="16838"/>
          <w:pgMar w:top="1440" w:right="1440" w:bottom="1440" w:left="1440" w:header="720" w:footer="720" w:gutter="0"/>
          <w:cols w:space="708"/>
          <w:titlePg/>
          <w:docGrid w:linePitch="360"/>
        </w:sectPr>
      </w:pPr>
    </w:p>
    <w:tbl>
      <w:tblPr>
        <w:tblStyle w:val="TableGrid"/>
        <w:tblW w:w="14688" w:type="dxa"/>
        <w:tblLayout w:type="fixed"/>
        <w:tblLook w:val="04A0" w:firstRow="1" w:lastRow="0" w:firstColumn="1" w:lastColumn="0" w:noHBand="0" w:noVBand="1"/>
      </w:tblPr>
      <w:tblGrid>
        <w:gridCol w:w="1872"/>
        <w:gridCol w:w="1152"/>
        <w:gridCol w:w="4320"/>
        <w:gridCol w:w="3168"/>
        <w:gridCol w:w="2016"/>
        <w:gridCol w:w="2160"/>
      </w:tblGrid>
      <w:tr>
        <w:trPr>
          <w:tblHeader/>
        </w:trPr>
        <w:tc>
          <w:tcPr>
            <w:tcW w:w="1872" w:type="dxa"/>
            <w:shd w:val="clear" w:color="auto" w:fill="F2F2F2"/>
          </w:tcPr>
          <w:p>
            <w:pPr>
              <w:spacing w:after="0"/>
            </w:pPr>
            <w:r>
              <w:rPr>
                <w:b/>
                <w:bCs/>
              </w:rPr>
              <w:t>阶段</w:t>
            </w:r>
          </w:p>
        </w:tc>
        <w:tc>
          <w:tcPr>
            <w:tcW w:w="1152" w:type="dxa"/>
            <w:shd w:val="clear" w:color="auto" w:fill="F2F2F2"/>
          </w:tcPr>
          <w:p>
            <w:pPr>
              <w:spacing w:after="0"/>
            </w:pPr>
            <w:r>
              <w:rPr>
                <w:b/>
                <w:bCs/>
              </w:rPr>
              <w:t>周次</w:t>
            </w:r>
          </w:p>
        </w:tc>
        <w:tc>
          <w:tcPr>
            <w:tcW w:w="4320" w:type="dxa"/>
            <w:shd w:val="clear" w:color="auto" w:fill="F2F2F2"/>
          </w:tcPr>
          <w:p>
            <w:pPr>
              <w:spacing w:after="0"/>
            </w:pPr>
            <w:r>
              <w:rPr>
                <w:b/>
                <w:bCs/>
              </w:rPr>
              <w:t>任务内容</w:t>
            </w:r>
          </w:p>
        </w:tc>
        <w:tc>
          <w:tcPr>
            <w:tcW w:w="3168" w:type="dxa"/>
            <w:shd w:val="clear" w:color="auto" w:fill="F2F2F2"/>
          </w:tcPr>
          <w:p>
            <w:pPr>
              <w:spacing w:after="0"/>
            </w:pPr>
            <w:r>
              <w:rPr>
                <w:b/>
                <w:bCs/>
              </w:rPr>
              <w:t>交付物</w:t>
            </w:r>
          </w:p>
        </w:tc>
        <w:tc>
          <w:tcPr>
            <w:tcW w:w="2016" w:type="dxa"/>
            <w:shd w:val="clear" w:color="auto" w:fill="F2F2F2"/>
          </w:tcPr>
          <w:p>
            <w:pPr>
              <w:spacing w:after="0"/>
            </w:pPr>
            <w:r>
              <w:rPr>
                <w:b/>
                <w:bCs/>
              </w:rPr>
              <w:t>GPU小时占比</w:t>
            </w:r>
          </w:p>
        </w:tc>
        <w:tc>
          <w:tcPr>
            <w:tcW w:w="2160" w:type="dxa"/>
            <w:shd w:val="clear" w:color="auto" w:fill="F2F2F2"/>
          </w:tcPr>
          <w:p>
            <w:pPr>
              <w:spacing w:after="0"/>
            </w:pPr>
            <w:r>
              <w:rPr>
                <w:b/>
                <w:bCs/>
              </w:rPr>
              <w:t>API预算占比</w:t>
            </w:r>
          </w:p>
        </w:tc>
      </w:tr>
      <w:tr>
        <w:tc>
          <w:tcPr>
            <w:tcW w:w="1872" w:type="dxa"/>
          </w:tcPr>
          <w:p>
            <w:pPr>
              <w:spacing w:after="0"/>
            </w:pPr>
            <w:r>
              <w:t>阶段一：环境搭建</w:t>
            </w:r>
          </w:p>
        </w:tc>
        <w:tc>
          <w:tcPr>
            <w:tcW w:w="1152" w:type="dxa"/>
          </w:tcPr>
          <w:p>
            <w:pPr>
              <w:spacing w:after="0"/>
            </w:pPr>
            <w:r>
              <w:t>第1–2周</w:t>
            </w:r>
          </w:p>
        </w:tc>
        <w:tc>
          <w:tcPr>
            <w:tcW w:w="4320" w:type="dxa"/>
          </w:tcPr>
          <w:p>
            <w:pPr>
              <w:spacing w:after="0"/>
            </w:pPr>
            <w:r>
              <w:t>RTX 4090 + Qwen2.5-7B-Instruct 量化部署；10个benchmark数据接入；11个baseline复现验证</w:t>
            </w:r>
          </w:p>
        </w:tc>
        <w:tc>
          <w:tcPr>
            <w:tcW w:w="3168" w:type="dxa"/>
          </w:tcPr>
          <w:p>
            <w:pPr>
              <w:spacing w:after="0"/>
            </w:pPr>
            <w:r>
              <w:t>可运行的基础环境、baseline复现报告</w:t>
            </w:r>
          </w:p>
        </w:tc>
        <w:tc>
          <w:tcPr>
            <w:tcW w:w="2016" w:type="dxa"/>
          </w:tcPr>
          <w:p>
            <w:pPr>
              <w:spacing w:after="0"/>
            </w:pPr>
            <w:r>
              <w:t>约10%（7–12 GPU时）</w:t>
            </w:r>
          </w:p>
        </w:tc>
        <w:tc>
          <w:tcPr>
            <w:tcW w:w="2160" w:type="dxa"/>
          </w:tcPr>
          <w:p>
            <w:pPr>
              <w:spacing w:after="0"/>
            </w:pPr>
            <w:r>
              <w:t>约10%（$14–$20）</w:t>
            </w:r>
          </w:p>
        </w:tc>
      </w:tr>
      <w:tr>
        <w:tc>
          <w:tcPr>
            <w:tcW w:w="1872" w:type="dxa"/>
          </w:tcPr>
          <w:p>
            <w:pPr>
              <w:spacing w:after="0"/>
            </w:pPr>
            <w:r>
              <w:t>阶段二：核心算法实现</w:t>
            </w:r>
          </w:p>
        </w:tc>
        <w:tc>
          <w:tcPr>
            <w:tcW w:w="1152" w:type="dxa"/>
          </w:tcPr>
          <w:p>
            <w:pPr>
              <w:spacing w:after="0"/>
            </w:pPr>
            <w:r>
              <w:t>第3–5周</w:t>
            </w:r>
          </w:p>
        </w:tc>
        <w:tc>
          <w:tcPr>
            <w:tcW w:w="4320" w:type="dxa"/>
          </w:tcPr>
          <w:p>
            <w:pPr>
              <w:spacing w:after="0"/>
            </w:pPr>
            <w:r>
              <w:t>三层核心算法实现（CS-DPP-NI、BiG-LinUCB、CA-SBMS）与单元测试</w:t>
            </w:r>
          </w:p>
        </w:tc>
        <w:tc>
          <w:tcPr>
            <w:tcW w:w="3168" w:type="dxa"/>
          </w:tcPr>
          <w:p>
            <w:pPr>
              <w:spacing w:after="0"/>
            </w:pPr>
            <w:r>
              <w:t>三层算法代码模块、单元测试通过报告</w:t>
            </w:r>
          </w:p>
        </w:tc>
        <w:tc>
          <w:tcPr>
            <w:tcW w:w="2016" w:type="dxa"/>
          </w:tcPr>
          <w:p>
            <w:pPr>
              <w:spacing w:after="0"/>
            </w:pPr>
            <w:r>
              <w:t>约20%（14–23 GPU时）</w:t>
            </w:r>
          </w:p>
        </w:tc>
        <w:tc>
          <w:tcPr>
            <w:tcW w:w="2160" w:type="dxa"/>
          </w:tcPr>
          <w:p>
            <w:pPr>
              <w:spacing w:after="0"/>
            </w:pPr>
            <w:r>
              <w:t>约15%（$21–$30）</w:t>
            </w:r>
          </w:p>
        </w:tc>
      </w:tr>
      <w:tr>
        <w:tc>
          <w:tcPr>
            <w:tcW w:w="1872" w:type="dxa"/>
          </w:tcPr>
          <w:p>
            <w:pPr>
              <w:spacing w:after="0"/>
            </w:pPr>
            <w:r>
              <w:t>阶段三：实验运行</w:t>
            </w:r>
          </w:p>
        </w:tc>
        <w:tc>
          <w:tcPr>
            <w:tcW w:w="1152" w:type="dxa"/>
          </w:tcPr>
          <w:p>
            <w:pPr>
              <w:spacing w:after="0"/>
            </w:pPr>
            <w:r>
              <w:t>第6–7周</w:t>
            </w:r>
          </w:p>
        </w:tc>
        <w:tc>
          <w:tcPr>
            <w:tcW w:w="4320" w:type="dxa"/>
          </w:tcPr>
          <w:p>
            <w:pPr>
              <w:spacing w:after="0"/>
            </w:pPr>
            <w:r>
              <w:t>消融⑨⑩及沿用核心实验①–⑧的完整实验运行</w:t>
            </w:r>
          </w:p>
        </w:tc>
        <w:tc>
          <w:tcPr>
            <w:tcW w:w="3168" w:type="dxa"/>
          </w:tcPr>
          <w:p>
            <w:pPr>
              <w:spacing w:after="0"/>
            </w:pPr>
            <w:r>
              <w:t>全部实验原始数据、日志</w:t>
            </w:r>
          </w:p>
        </w:tc>
        <w:tc>
          <w:tcPr>
            <w:tcW w:w="2016" w:type="dxa"/>
          </w:tcPr>
          <w:p>
            <w:pPr>
              <w:spacing w:after="0"/>
            </w:pPr>
            <w:r>
              <w:t>约50%（35–58 GPU时）</w:t>
            </w:r>
          </w:p>
        </w:tc>
        <w:tc>
          <w:tcPr>
            <w:tcW w:w="2160" w:type="dxa"/>
          </w:tcPr>
          <w:p>
            <w:pPr>
              <w:spacing w:after="0"/>
            </w:pPr>
            <w:r>
              <w:t>约55%（$77–$110）</w:t>
            </w:r>
          </w:p>
        </w:tc>
      </w:tr>
      <w:tr>
        <w:tc>
          <w:tcPr>
            <w:tcW w:w="1872" w:type="dxa"/>
          </w:tcPr>
          <w:p>
            <w:pPr>
              <w:spacing w:after="0"/>
            </w:pPr>
            <w:r>
              <w:t>阶段四：结果分析</w:t>
            </w:r>
          </w:p>
        </w:tc>
        <w:tc>
          <w:tcPr>
            <w:tcW w:w="1152" w:type="dxa"/>
          </w:tcPr>
          <w:p>
            <w:pPr>
              <w:spacing w:after="0"/>
            </w:pPr>
            <w:r>
              <w:t>第8周</w:t>
            </w:r>
          </w:p>
        </w:tc>
        <w:tc>
          <w:tcPr>
            <w:tcW w:w="4320" w:type="dxa"/>
          </w:tcPr>
          <w:p>
            <w:pPr>
              <w:spacing w:after="0"/>
            </w:pPr>
            <w:r>
              <w:t>结果分析、图表整理、理论证明与实证结果一致性校验</w:t>
            </w:r>
          </w:p>
        </w:tc>
        <w:tc>
          <w:tcPr>
            <w:tcW w:w="3168" w:type="dxa"/>
          </w:tcPr>
          <w:p>
            <w:pPr>
              <w:spacing w:after="0"/>
            </w:pPr>
            <w:r>
              <w:t>实验结果分析报告、图表集</w:t>
            </w:r>
          </w:p>
        </w:tc>
        <w:tc>
          <w:tcPr>
            <w:tcW w:w="2016" w:type="dxa"/>
          </w:tcPr>
          <w:p>
            <w:pPr>
              <w:spacing w:after="0"/>
            </w:pPr>
            <w:r>
              <w:t>约10%（7–12 GPU时）</w:t>
            </w:r>
          </w:p>
        </w:tc>
        <w:tc>
          <w:tcPr>
            <w:tcW w:w="2160" w:type="dxa"/>
          </w:tcPr>
          <w:p>
            <w:pPr>
              <w:spacing w:after="0"/>
            </w:pPr>
            <w:r>
              <w:t>约10%（$14–$20）</w:t>
            </w:r>
          </w:p>
        </w:tc>
      </w:tr>
      <w:tr>
        <w:tc>
          <w:tcPr>
            <w:tcW w:w="1872" w:type="dxa"/>
          </w:tcPr>
          <w:p>
            <w:pPr>
              <w:spacing w:after="0"/>
            </w:pPr>
            <w:r>
              <w:t>阶段五：论文撰写与投稿准备</w:t>
            </w:r>
          </w:p>
        </w:tc>
        <w:tc>
          <w:tcPr>
            <w:tcW w:w="1152" w:type="dxa"/>
          </w:tcPr>
          <w:p>
            <w:pPr>
              <w:spacing w:after="0"/>
            </w:pPr>
            <w:r>
              <w:t>第9–10周</w:t>
            </w:r>
          </w:p>
        </w:tc>
        <w:tc>
          <w:tcPr>
            <w:tcW w:w="4320" w:type="dxa"/>
          </w:tcPr>
          <w:p>
            <w:pPr>
              <w:spacing w:after="0"/>
            </w:pPr>
            <w:r>
              <w:t>论文撰写、附录完整证明整理、内部审阅与投稿准备</w:t>
            </w:r>
          </w:p>
        </w:tc>
        <w:tc>
          <w:tcPr>
            <w:tcW w:w="3168" w:type="dxa"/>
          </w:tcPr>
          <w:p>
            <w:pPr>
              <w:spacing w:after="0"/>
            </w:pPr>
            <w:r>
              <w:t>投稿版论文初稿、完整附录</w:t>
            </w:r>
          </w:p>
        </w:tc>
        <w:tc>
          <w:tcPr>
            <w:tcW w:w="2016" w:type="dxa"/>
          </w:tcPr>
          <w:p>
            <w:pPr>
              <w:spacing w:after="0"/>
            </w:pPr>
            <w:r>
              <w:t>约10%（7–12 GPU时）</w:t>
            </w:r>
          </w:p>
        </w:tc>
        <w:tc>
          <w:tcPr>
            <w:tcW w:w="2160" w:type="dxa"/>
          </w:tcPr>
          <w:p>
            <w:pPr>
              <w:spacing w:after="0"/>
            </w:pPr>
            <w:r>
              <w:t>约10%（$14–$20）</w:t>
            </w:r>
          </w:p>
        </w:tc>
      </w:tr>
    </w:tbl>
    <w:p/>
    <w:p>
      <w:r>
        <w:t>说明：上表 GPU 小时与 API 预算占比为按第5章总量（70–115 GPU 小时、$140–$200）的分阶段估算分配，实际执行时可根据阶段三实验运行中的分层评测策略（代理预测器筛选）进行动态调整，以确保总量不超出预算区间。</w:t>
      </w:r>
    </w:p>
    <w:p>
      <w:pPr>
        <w:sectPr>
          <w:pgSz w:w="16838" w:h="11906" w:orient="landscape"/>
          <w:pgMar w:top="1440" w:right="1440" w:bottom="1440" w:left="1440" w:header="720" w:footer="720" w:gutter="0"/>
          <w:cols w:space="708"/>
          <w:docGrid w:linePitch="360"/>
        </w:sectPr>
      </w:pPr>
    </w:p>
    <w:p>
      <w:r>
        <w:br w:type="page"/>
      </w:r>
    </w:p>
    <w:p>
      <w:pPr>
        <w:pStyle w:val="Heading1"/>
      </w:pPr>
      <w:r>
        <w:t>第8章　风险评估</w:t>
      </w:r>
    </w:p>
    <w:p>
      <w:pPr>
        <w:pStyle w:val="Heading2"/>
      </w:pPr>
      <w:r>
        <w:t>8.1　已识别风险与应对</w:t>
      </w:r>
    </w:p>
    <w:tbl>
      <w:tblPr>
        <w:tblStyle w:val="TableGrid"/>
        <w:tblW w:w="8928" w:type="dxa"/>
        <w:tblLayout w:type="fixed"/>
        <w:tblLook w:val="04A0" w:firstRow="1" w:lastRow="0" w:firstColumn="1" w:lastColumn="0" w:noHBand="0" w:noVBand="1"/>
      </w:tblPr>
      <w:tblGrid>
        <w:gridCol w:w="1728"/>
        <w:gridCol w:w="2304"/>
        <w:gridCol w:w="2016"/>
        <w:gridCol w:w="2880"/>
      </w:tblGrid>
      <w:tr>
        <w:trPr>
          <w:tblHeader/>
        </w:trPr>
        <w:tc>
          <w:tcPr>
            <w:tcW w:w="1728" w:type="dxa"/>
            <w:shd w:val="clear" w:color="auto" w:fill="F2F2F2"/>
          </w:tcPr>
          <w:p>
            <w:pPr>
              <w:spacing w:after="0"/>
            </w:pPr>
            <w:r>
              <w:rPr>
                <w:b/>
                <w:bCs/>
              </w:rPr>
              <w:t>风险类型</w:t>
            </w:r>
          </w:p>
        </w:tc>
        <w:tc>
          <w:tcPr>
            <w:tcW w:w="2304" w:type="dxa"/>
            <w:shd w:val="clear" w:color="auto" w:fill="F2F2F2"/>
          </w:tcPr>
          <w:p>
            <w:pPr>
              <w:spacing w:after="0"/>
            </w:pPr>
            <w:r>
              <w:rPr>
                <w:b/>
                <w:bCs/>
              </w:rPr>
              <w:t>触发条件</w:t>
            </w:r>
          </w:p>
        </w:tc>
        <w:tc>
          <w:tcPr>
            <w:tcW w:w="2016" w:type="dxa"/>
            <w:shd w:val="clear" w:color="auto" w:fill="F2F2F2"/>
          </w:tcPr>
          <w:p>
            <w:pPr>
              <w:spacing w:after="0"/>
            </w:pPr>
            <w:r>
              <w:rPr>
                <w:b/>
                <w:bCs/>
              </w:rPr>
              <w:t>影响</w:t>
            </w:r>
          </w:p>
        </w:tc>
        <w:tc>
          <w:tcPr>
            <w:tcW w:w="2880" w:type="dxa"/>
            <w:shd w:val="clear" w:color="auto" w:fill="F2F2F2"/>
          </w:tcPr>
          <w:p>
            <w:pPr>
              <w:spacing w:after="0"/>
            </w:pPr>
            <w:r>
              <w:rPr>
                <w:b/>
                <w:bCs/>
              </w:rPr>
              <w:t>应对机制</w:t>
            </w:r>
          </w:p>
        </w:tc>
      </w:tr>
      <w:tr>
        <w:tc>
          <w:tcPr>
            <w:tcW w:w="1728" w:type="dxa"/>
          </w:tcPr>
          <w:p>
            <w:pPr>
              <w:spacing w:after="0"/>
            </w:pPr>
            <w:r>
              <w:t>在线曲率估计风险</w:t>
            </w:r>
          </w:p>
        </w:tc>
        <w:tc>
          <w:tcPr>
            <w:tcW w:w="2304" w:type="dxa"/>
          </w:tcPr>
          <w:p>
            <w:pPr>
              <w:spacing w:after="0"/>
            </w:pPr>
            <w:r>
              <w:t>观测样本不足或效用增量函数剧烈漂移</w:t>
            </w:r>
          </w:p>
        </w:tc>
        <w:tc>
          <w:tcPr>
            <w:tcW w:w="2016" w:type="dxa"/>
          </w:tcPr>
          <w:p>
            <w:pPr>
              <w:spacing w:after="0"/>
            </w:pPr>
            <w:r>
              <w:t>置信半径 ε_t 过宽，近似比保证退化</w:t>
            </w:r>
          </w:p>
        </w:tc>
        <w:tc>
          <w:tcPr>
            <w:tcW w:w="2880" w:type="dxa"/>
          </w:tcPr>
          <w:p>
            <w:pPr>
              <w:spacing w:after="0"/>
            </w:pPr>
            <w:r>
              <w:t>显式回退机制：ε_t 超过预设阈值时 γ̂_t → 1，向经典 (1-1/e) 保证回退（见 3.3.4 节）</w:t>
            </w:r>
          </w:p>
        </w:tc>
      </w:tr>
      <w:tr>
        <w:tc>
          <w:tcPr>
            <w:tcW w:w="1728" w:type="dxa"/>
          </w:tcPr>
          <w:p>
            <w:pPr>
              <w:spacing w:after="0"/>
            </w:pPr>
            <w:r>
              <w:t>组合子集选择的语义臂爆炸</w:t>
            </w:r>
          </w:p>
        </w:tc>
        <w:tc>
          <w:tcPr>
            <w:tcW w:w="2304" w:type="dxa"/>
          </w:tcPr>
          <w:p>
            <w:pPr>
              <w:spacing w:after="0"/>
            </w:pPr>
            <w:r>
              <w:t>生态位数量增长导致候选池 C_t 规模激增</w:t>
            </w:r>
          </w:p>
        </w:tc>
        <w:tc>
          <w:tcPr>
            <w:tcW w:w="2016" w:type="dxa"/>
          </w:tcPr>
          <w:p>
            <w:pPr>
              <w:spacing w:after="0"/>
            </w:pPr>
            <w:r>
              <w:t>计算复杂度增加，可能影响实时性</w:t>
            </w:r>
          </w:p>
        </w:tc>
        <w:tc>
          <w:tcPr>
            <w:tcW w:w="2880" w:type="dxa"/>
          </w:tcPr>
          <w:p>
            <w:pPr>
              <w:spacing w:after="0"/>
            </w:pPr>
            <w:r>
              <w:t>ACSR 密度过滤在贪心选择前收缩候选池；配合贪心算法 O(k·N) 的复杂度上界（k 为个位数变异预算），在 N=100 规模下可控（见 3.1 节）</w:t>
            </w:r>
          </w:p>
        </w:tc>
      </w:tr>
      <w:tr>
        <w:tc>
          <w:tcPr>
            <w:tcW w:w="1728" w:type="dxa"/>
          </w:tcPr>
          <w:p>
            <w:pPr>
              <w:spacing w:after="0"/>
            </w:pPr>
            <w:r>
              <w:t>组合遗憾收敛风险</w:t>
            </w:r>
          </w:p>
        </w:tc>
        <w:tc>
          <w:tcPr>
            <w:tcW w:w="2304" w:type="dxa"/>
          </w:tcPr>
          <w:p>
            <w:pPr>
              <w:spacing w:after="0"/>
            </w:pPr>
            <w:r>
              <w:t>实际候选质量分布非平稳</w:t>
            </w:r>
          </w:p>
        </w:tc>
        <w:tc>
          <w:tcPr>
            <w:tcW w:w="2016" w:type="dxa"/>
          </w:tcPr>
          <w:p>
            <w:pPr>
              <w:spacing w:after="0"/>
            </w:pPr>
            <w:r>
              <w:t>CS-DPP-NI 的组合遗憾收敛可能变慢</w:t>
            </w:r>
          </w:p>
        </w:tc>
        <w:tc>
          <w:tcPr>
            <w:tcW w:w="2880" w:type="dxa"/>
          </w:tcPr>
          <w:p>
            <w:pPr>
              <w:spacing w:after="0"/>
            </w:pPr>
            <w:r>
              <w:t>进行小规模经验验证，必要时引入滑动窗口 UCB 机制应对分布漂移</w:t>
            </w:r>
          </w:p>
        </w:tc>
      </w:tr>
      <w:tr>
        <w:tc>
          <w:tcPr>
            <w:tcW w:w="1728" w:type="dxa"/>
          </w:tcPr>
          <w:p>
            <w:pPr>
              <w:spacing w:after="0"/>
            </w:pPr>
            <w:r>
              <w:t>外部兼容性与复现风险</w:t>
            </w:r>
          </w:p>
        </w:tc>
        <w:tc>
          <w:tcPr>
            <w:tcW w:w="2304" w:type="dxa"/>
          </w:tcPr>
          <w:p>
            <w:pPr>
              <w:spacing w:after="0"/>
            </w:pPr>
            <w:r>
              <w:t>EvoFlow 等 baseline 的复现代码存在评测协议兼容性问题</w:t>
            </w:r>
          </w:p>
        </w:tc>
        <w:tc>
          <w:tcPr>
            <w:tcW w:w="2016" w:type="dxa"/>
          </w:tcPr>
          <w:p>
            <w:pPr>
              <w:spacing w:after="0"/>
            </w:pPr>
            <w:r>
              <w:t>可能影响实验对比的公平性</w:t>
            </w:r>
          </w:p>
        </w:tc>
        <w:tc>
          <w:tcPr>
            <w:tcW w:w="2880" w:type="dxa"/>
          </w:tcPr>
          <w:p>
            <w:pPr>
              <w:spacing w:after="0"/>
            </w:pPr>
            <w:r>
              <w:t>优先使用官方开源代码，仅做适配包装，不修改核心逻辑</w:t>
            </w:r>
          </w:p>
        </w:tc>
      </w:tr>
      <w:tr>
        <w:tc>
          <w:tcPr>
            <w:tcW w:w="1728" w:type="dxa"/>
          </w:tcPr>
          <w:p>
            <w:pPr>
              <w:spacing w:after="0"/>
            </w:pPr>
            <w:r>
              <w:t>顶会证明严谨性风险</w:t>
            </w:r>
          </w:p>
        </w:tc>
        <w:tc>
          <w:tcPr>
            <w:tcW w:w="2304" w:type="dxa"/>
          </w:tcPr>
          <w:p>
            <w:pPr>
              <w:spacing w:after="0"/>
            </w:pPr>
            <w:r>
              <w:t>第3章证明思路可能被审稿人质疑推导不完整</w:t>
            </w:r>
          </w:p>
        </w:tc>
        <w:tc>
          <w:tcPr>
            <w:tcW w:w="2016" w:type="dxa"/>
          </w:tcPr>
          <w:p>
            <w:pPr>
              <w:spacing w:after="0"/>
            </w:pPr>
            <w:r>
              <w:t>理论贡献说服力不足</w:t>
            </w:r>
          </w:p>
        </w:tc>
        <w:tc>
          <w:tcPr>
            <w:tcW w:w="2880" w:type="dxa"/>
          </w:tcPr>
          <w:p>
            <w:pPr>
              <w:spacing w:after="0"/>
            </w:pPr>
            <w:r>
              <w:t>见配套《附录A：核心算法完整数学证明》——已提供定理1-3、命题1-3 的逐引理严格推导与显式假设 A1–A4</w:t>
            </w:r>
          </w:p>
        </w:tc>
      </w:tr>
      <w:tr>
        <w:tc>
          <w:tcPr>
            <w:tcW w:w="1728" w:type="dxa"/>
          </w:tcPr>
          <w:p>
            <w:pPr>
              <w:spacing w:after="0"/>
            </w:pPr>
            <w:r>
              <w:t>实验数据未落地风险</w:t>
            </w:r>
          </w:p>
        </w:tc>
        <w:tc>
          <w:tcPr>
            <w:tcW w:w="2304" w:type="dxa"/>
          </w:tcPr>
          <w:p>
            <w:pPr>
              <w:spacing w:after="0"/>
            </w:pPr>
            <w:r>
              <w:t>消融⑨⑩目前仅有预期结果，无真实数据</w:t>
            </w:r>
          </w:p>
        </w:tc>
        <w:tc>
          <w:tcPr>
            <w:tcW w:w="2016" w:type="dxa"/>
          </w:tcPr>
          <w:p>
            <w:pPr>
              <w:spacing w:after="0"/>
            </w:pPr>
            <w:r>
              <w:t>原创性论证的实证支撑不足</w:t>
            </w:r>
          </w:p>
        </w:tc>
        <w:tc>
          <w:tcPr>
            <w:tcW w:w="2880" w:type="dxa"/>
          </w:tcPr>
          <w:p>
            <w:pPr>
              <w:spacing w:after="0"/>
            </w:pPr>
            <w:r>
              <w:t>见第7章实施计划阶段三（第6–7周），已安排完整实验运行以产出真实数据</w:t>
            </w:r>
          </w:p>
        </w:tc>
      </w:tr>
      <w:tr>
        <w:tc>
          <w:tcPr>
            <w:tcW w:w="1728" w:type="dxa"/>
          </w:tcPr>
          <w:p>
            <w:pPr>
              <w:spacing w:after="0"/>
            </w:pPr>
            <w:r>
              <w:t>硬件与成本局限</w:t>
            </w:r>
          </w:p>
        </w:tc>
        <w:tc>
          <w:tcPr>
            <w:tcW w:w="2304" w:type="dxa"/>
          </w:tcPr>
          <w:p>
            <w:pPr>
              <w:spacing w:after="0"/>
            </w:pPr>
            <w:r>
              <w:t>实验依赖单张 RTX 4090，运行时间需 1–2 周</w:t>
            </w:r>
          </w:p>
        </w:tc>
        <w:tc>
          <w:tcPr>
            <w:tcW w:w="2016" w:type="dxa"/>
          </w:tcPr>
          <w:p>
            <w:pPr>
              <w:spacing w:after="0"/>
            </w:pPr>
            <w:r>
              <w:t>整体实验周期受限于单卡吞吐能力</w:t>
            </w:r>
          </w:p>
        </w:tc>
        <w:tc>
          <w:tcPr>
            <w:tcW w:w="2880" w:type="dxa"/>
          </w:tcPr>
          <w:p>
            <w:pPr>
              <w:spacing w:after="0"/>
            </w:pPr>
            <w:r>
              <w:t>采用分层评测策略（代理预测器先筛选）严格控制 API 预算不超支</w:t>
            </w:r>
          </w:p>
        </w:tc>
      </w:tr>
      <w:tr>
        <w:tc>
          <w:tcPr>
            <w:tcW w:w="1728" w:type="dxa"/>
          </w:tcPr>
          <w:p>
            <w:pPr>
              <w:spacing w:after="0"/>
            </w:pPr>
            <w:r>
              <w:t>模型稳定性局限</w:t>
            </w:r>
          </w:p>
        </w:tc>
        <w:tc>
          <w:tcPr>
            <w:tcW w:w="2304" w:type="dxa"/>
          </w:tcPr>
          <w:p>
            <w:pPr>
              <w:spacing w:after="0"/>
            </w:pPr>
            <w:r>
              <w:t>本地模型 Qwen2.5-7B 采用 4-bit 量化</w:t>
            </w:r>
          </w:p>
        </w:tc>
        <w:tc>
          <w:tcPr>
            <w:tcW w:w="2016" w:type="dxa"/>
          </w:tcPr>
          <w:p>
            <w:pPr>
              <w:spacing w:after="0"/>
            </w:pPr>
            <w:r>
              <w:t>可能影响异构评估的准确性</w:t>
            </w:r>
          </w:p>
        </w:tc>
        <w:tc>
          <w:tcPr>
            <w:tcW w:w="2880" w:type="dxa"/>
          </w:tcPr>
          <w:p>
            <w:pPr>
              <w:spacing w:after="0"/>
            </w:pPr>
            <w:r>
              <w:t>若性能不稳定，需切换至 8-bit 量化（会增加显存压力，需评估显存余量）</w:t>
            </w:r>
          </w:p>
        </w:tc>
      </w:tr>
      <w:tr>
        <w:tc>
          <w:tcPr>
            <w:tcW w:w="1728" w:type="dxa"/>
          </w:tcPr>
          <w:p>
            <w:pPr>
              <w:spacing w:after="0"/>
            </w:pPr>
            <w:r>
              <w:t>超参数敏感性</w:t>
            </w:r>
          </w:p>
        </w:tc>
        <w:tc>
          <w:tcPr>
            <w:tcW w:w="2304" w:type="dxa"/>
          </w:tcPr>
          <w:p>
            <w:pPr>
              <w:spacing w:after="0"/>
            </w:pPr>
            <w:r>
              <w:t>ACSR 机制对超参数（ρ_0、α）较为敏感</w:t>
            </w:r>
          </w:p>
        </w:tc>
        <w:tc>
          <w:tcPr>
            <w:tcW w:w="2016" w:type="dxa"/>
          </w:tcPr>
          <w:p>
            <w:pPr>
              <w:spacing w:after="0"/>
            </w:pPr>
            <w:r>
              <w:t>Vendi Score 曲线收敛可能不稳定</w:t>
            </w:r>
          </w:p>
        </w:tc>
        <w:tc>
          <w:tcPr>
            <w:tcW w:w="2880" w:type="dxa"/>
          </w:tcPr>
          <w:p>
            <w:pPr>
              <w:spacing w:after="0"/>
            </w:pPr>
            <w:r>
              <w:t>通过小规模网格搜索确保 Vendi Score 曲线稳定收敛</w:t>
            </w:r>
          </w:p>
        </w:tc>
      </w:tr>
    </w:tbl>
    <w:p/>
    <w:p>
      <w:r>
        <w:t>理论边界的承认：三层复合定理的每一层基础工具（如 OFUL、贪心近似比等）在现有文献中均有对应范式，本文的贡献在于这些组件在同一个系统中的耦合方式和系统性理论证明，而非完全从零创造基础工具。本方案已通过第7章的实施安排为新引入的在线曲率估计和组合选择机制建立“安全网”（回退机制和剪枝策略），并对实验过程中的成本和模型精度风险做了预案。</w:t>
      </w:r>
    </w:p>
    <w:p>
      <w:r>
        <w:br w:type="page"/>
      </w:r>
    </w:p>
    <w:p>
      <w:pPr>
        <w:pStyle w:val="Heading1"/>
      </w:pPr>
      <w:r>
        <w:t>第9章　参考文献</w:t>
      </w:r>
    </w:p>
    <w:tbl>
      <w:tblPr>
        <w:tblStyle w:val="TableGrid"/>
        <w:tblW w:w="8928" w:type="dxa"/>
        <w:tblLayout w:type="fixed"/>
        <w:tblLook w:val="04A0" w:firstRow="1" w:lastRow="0" w:firstColumn="1" w:lastColumn="0" w:noHBand="0" w:noVBand="1"/>
      </w:tblPr>
      <w:tblGrid>
        <w:gridCol w:w="720"/>
        <w:gridCol w:w="5616"/>
        <w:gridCol w:w="2592"/>
      </w:tblGrid>
      <w:tr>
        <w:trPr>
          <w:tblHeader/>
        </w:trPr>
        <w:tc>
          <w:tcPr>
            <w:tcW w:w="720" w:type="dxa"/>
            <w:shd w:val="clear" w:color="auto" w:fill="F2F2F2"/>
          </w:tcPr>
          <w:p>
            <w:pPr>
              <w:spacing w:after="0"/>
            </w:pPr>
            <w:r>
              <w:rPr>
                <w:b/>
                <w:bCs/>
              </w:rPr>
              <w:t>编号</w:t>
            </w:r>
          </w:p>
        </w:tc>
        <w:tc>
          <w:tcPr>
            <w:tcW w:w="5616" w:type="dxa"/>
            <w:shd w:val="clear" w:color="auto" w:fill="F2F2F2"/>
          </w:tcPr>
          <w:p>
            <w:pPr>
              <w:spacing w:after="0"/>
            </w:pPr>
            <w:r>
              <w:rPr>
                <w:b/>
                <w:bCs/>
              </w:rPr>
              <w:t>文献</w:t>
            </w:r>
          </w:p>
        </w:tc>
        <w:tc>
          <w:tcPr>
            <w:tcW w:w="2592" w:type="dxa"/>
            <w:shd w:val="clear" w:color="auto" w:fill="F2F2F2"/>
          </w:tcPr>
          <w:p>
            <w:pPr>
              <w:spacing w:after="0"/>
            </w:pPr>
            <w:r>
              <w:rPr>
                <w:b/>
                <w:bCs/>
              </w:rPr>
              <w:t>来源/链接</w:t>
            </w:r>
          </w:p>
        </w:tc>
      </w:tr>
      <w:tr>
        <w:tc>
          <w:tcPr>
            <w:tcW w:w="720" w:type="dxa"/>
          </w:tcPr>
          <w:p>
            <w:pPr>
              <w:spacing w:after="0"/>
            </w:pPr>
            <w:r>
              <w:t>[1]</w:t>
            </w:r>
          </w:p>
        </w:tc>
        <w:tc>
          <w:tcPr>
            <w:tcW w:w="5616" w:type="dxa"/>
          </w:tcPr>
          <w:p>
            <w:pPr>
              <w:spacing w:after="0"/>
            </w:pPr>
            <w:r>
              <w:t>Abbasi-Yadkori, Y., Pál, D., &amp; Szepesvári, C. (2011). Improved Algorithms for Linear Stochastic Bandits.</w:t>
            </w:r>
          </w:p>
        </w:tc>
        <w:tc>
          <w:tcPr>
            <w:tcW w:w="2592" w:type="dxa"/>
          </w:tcPr>
          <w:p>
            <w:pPr>
              <w:spacing w:after="0"/>
            </w:pPr>
            <w:r>
              <w:t>NeurIPS 24</w:t>
            </w:r>
          </w:p>
        </w:tc>
      </w:tr>
      <w:tr>
        <w:tc>
          <w:tcPr>
            <w:tcW w:w="720" w:type="dxa"/>
          </w:tcPr>
          <w:p>
            <w:pPr>
              <w:spacing w:after="0"/>
            </w:pPr>
            <w:r>
              <w:t>[2]</w:t>
            </w:r>
          </w:p>
        </w:tc>
        <w:tc>
          <w:tcPr>
            <w:tcW w:w="5616" w:type="dxa"/>
          </w:tcPr>
          <w:p>
            <w:pPr>
              <w:spacing w:after="0"/>
            </w:pPr>
            <w:r>
              <w:t>Chen, W., Wang, Y., &amp; Yuan, Y. (2013). Combinatorial Multi-Armed Bandit: General Framework and Applications.</w:t>
            </w:r>
          </w:p>
        </w:tc>
        <w:tc>
          <w:tcPr>
            <w:tcW w:w="2592" w:type="dxa"/>
          </w:tcPr>
          <w:p>
            <w:pPr>
              <w:spacing w:after="0"/>
            </w:pPr>
            <w:r>
              <w:t>ICML</w:t>
            </w:r>
          </w:p>
        </w:tc>
      </w:tr>
      <w:tr>
        <w:tc>
          <w:tcPr>
            <w:tcW w:w="720" w:type="dxa"/>
          </w:tcPr>
          <w:p>
            <w:pPr>
              <w:spacing w:after="0"/>
            </w:pPr>
            <w:r>
              <w:t>[3]</w:t>
            </w:r>
          </w:p>
        </w:tc>
        <w:tc>
          <w:tcPr>
            <w:tcW w:w="5616" w:type="dxa"/>
          </w:tcPr>
          <w:p>
            <w:pPr>
              <w:spacing w:after="0"/>
            </w:pPr>
            <w:r>
              <w:t>Chen, W., &amp; Crawford, V. G. (2025). Linear Submodular Maximization with Bandit Feedback.</w:t>
            </w:r>
          </w:p>
        </w:tc>
        <w:tc>
          <w:tcPr>
            <w:tcW w:w="2592" w:type="dxa"/>
          </w:tcPr>
          <w:p>
            <w:pPr>
              <w:spacing w:after="0"/>
            </w:pPr>
            <w:r>
              <w:t>AISTATS, PMLR 258; https://proceedings.mlr.press/v258/chen25h.html</w:t>
            </w:r>
          </w:p>
        </w:tc>
      </w:tr>
      <w:tr>
        <w:tc>
          <w:tcPr>
            <w:tcW w:w="720" w:type="dxa"/>
          </w:tcPr>
          <w:p>
            <w:pPr>
              <w:spacing w:after="0"/>
            </w:pPr>
            <w:r>
              <w:t>[4]</w:t>
            </w:r>
          </w:p>
        </w:tc>
        <w:tc>
          <w:tcPr>
            <w:tcW w:w="5616" w:type="dxa"/>
          </w:tcPr>
          <w:p>
            <w:pPr>
              <w:spacing w:after="0"/>
            </w:pPr>
            <w:r>
              <w:t>Conforti, M., &amp; Cornuéjols, G. (1984). Submodular Set Functions, Matroids and the Greedy Algorithm.</w:t>
            </w:r>
          </w:p>
        </w:tc>
        <w:tc>
          <w:tcPr>
            <w:tcW w:w="2592" w:type="dxa"/>
          </w:tcPr>
          <w:p>
            <w:pPr>
              <w:spacing w:after="0"/>
            </w:pPr>
            <w:r>
              <w:t>Discrete Applied Mathematics</w:t>
            </w:r>
          </w:p>
        </w:tc>
      </w:tr>
      <w:tr>
        <w:tc>
          <w:tcPr>
            <w:tcW w:w="720" w:type="dxa"/>
          </w:tcPr>
          <w:p>
            <w:pPr>
              <w:spacing w:after="0"/>
            </w:pPr>
            <w:r>
              <w:t>[5]</w:t>
            </w:r>
          </w:p>
        </w:tc>
        <w:tc>
          <w:tcPr>
            <w:tcW w:w="5616" w:type="dxa"/>
          </w:tcPr>
          <w:p>
            <w:pPr>
              <w:spacing w:after="0"/>
            </w:pPr>
            <w:r>
              <w:t>Kleinberg, R., Niculescu-Mizil, A., &amp; Sharma, Y. (2010). Regret Bounds for Sleeping Experts and Bandits.</w:t>
            </w:r>
          </w:p>
        </w:tc>
        <w:tc>
          <w:tcPr>
            <w:tcW w:w="2592" w:type="dxa"/>
          </w:tcPr>
          <w:p>
            <w:pPr>
              <w:spacing w:after="0"/>
            </w:pPr>
            <w:r>
              <w:t>Machine Learning</w:t>
            </w:r>
          </w:p>
        </w:tc>
      </w:tr>
      <w:tr>
        <w:tc>
          <w:tcPr>
            <w:tcW w:w="720" w:type="dxa"/>
          </w:tcPr>
          <w:p>
            <w:pPr>
              <w:spacing w:after="0"/>
            </w:pPr>
            <w:r>
              <w:t>[6]</w:t>
            </w:r>
          </w:p>
        </w:tc>
        <w:tc>
          <w:tcPr>
            <w:tcW w:w="5616" w:type="dxa"/>
          </w:tcPr>
          <w:p>
            <w:pPr>
              <w:spacing w:after="0"/>
            </w:pPr>
            <w:r>
              <w:t>Kulesza, A., &amp; Taskar, B. (2012). Determinantal Point Processes for Machine Learning.</w:t>
            </w:r>
          </w:p>
        </w:tc>
        <w:tc>
          <w:tcPr>
            <w:tcW w:w="2592" w:type="dxa"/>
          </w:tcPr>
          <w:p>
            <w:pPr>
              <w:spacing w:after="0"/>
            </w:pPr>
            <w:r>
              <w:t>Foundations and Trends in Machine Learning</w:t>
            </w:r>
          </w:p>
        </w:tc>
      </w:tr>
      <w:tr>
        <w:tc>
          <w:tcPr>
            <w:tcW w:w="720" w:type="dxa"/>
          </w:tcPr>
          <w:p>
            <w:pPr>
              <w:spacing w:after="0"/>
            </w:pPr>
            <w:r>
              <w:t>[7]</w:t>
            </w:r>
          </w:p>
        </w:tc>
        <w:tc>
          <w:tcPr>
            <w:tcW w:w="5616" w:type="dxa"/>
          </w:tcPr>
          <w:p>
            <w:pPr>
              <w:spacing w:after="0"/>
            </w:pPr>
            <w:r>
              <w:t>Nemhauser, G. L., Wolsey, L. A., &amp; Fisher, M. L. (1978). An Analysis of Approximations for Maximizing Submodular Set Functions—I.</w:t>
            </w:r>
          </w:p>
        </w:tc>
        <w:tc>
          <w:tcPr>
            <w:tcW w:w="2592" w:type="dxa"/>
          </w:tcPr>
          <w:p>
            <w:pPr>
              <w:spacing w:after="0"/>
            </w:pPr>
            <w:r>
              <w:t>Mathematical Programming</w:t>
            </w:r>
          </w:p>
        </w:tc>
      </w:tr>
      <w:tr>
        <w:tc>
          <w:tcPr>
            <w:tcW w:w="720" w:type="dxa"/>
          </w:tcPr>
          <w:p>
            <w:pPr>
              <w:spacing w:after="0"/>
            </w:pPr>
            <w:r>
              <w:t>[8]</w:t>
            </w:r>
          </w:p>
        </w:tc>
        <w:tc>
          <w:tcPr>
            <w:tcW w:w="5616" w:type="dxa"/>
          </w:tcPr>
          <w:p>
            <w:pPr>
              <w:spacing w:after="0"/>
            </w:pPr>
            <w:r>
              <w:t>Sfikas, K., Liapis, A., &amp; Yannakakis, G. N. (2021). Monte Carlo Elites: Quality-Diversity Selection as a Multi-Armed Bandit Problem.</w:t>
            </w:r>
          </w:p>
        </w:tc>
        <w:tc>
          <w:tcPr>
            <w:tcW w:w="2592" w:type="dxa"/>
          </w:tcPr>
          <w:p>
            <w:pPr>
              <w:spacing w:after="0"/>
            </w:pPr>
            <w:r>
              <w:t>arXiv:2104.08781; https://dl.acm.org/doi/abs/10.1145/3449639.3459321</w:t>
            </w:r>
          </w:p>
        </w:tc>
      </w:tr>
      <w:tr>
        <w:tc>
          <w:tcPr>
            <w:tcW w:w="720" w:type="dxa"/>
          </w:tcPr>
          <w:p>
            <w:pPr>
              <w:spacing w:after="0"/>
            </w:pPr>
            <w:r>
              <w:t>[9]</w:t>
            </w:r>
          </w:p>
        </w:tc>
        <w:tc>
          <w:tcPr>
            <w:tcW w:w="5616" w:type="dxa"/>
          </w:tcPr>
          <w:p>
            <w:pPr>
              <w:spacing w:after="0"/>
            </w:pPr>
            <w:r>
              <w:t>Streeter, M., &amp; Golovin, D. (2008). An Online Algorithm for Maximizing Submodular Functions.</w:t>
            </w:r>
          </w:p>
        </w:tc>
        <w:tc>
          <w:tcPr>
            <w:tcW w:w="2592" w:type="dxa"/>
          </w:tcPr>
          <w:p>
            <w:pPr>
              <w:spacing w:after="0"/>
            </w:pPr>
            <w:r>
              <w:t>NeurIPS 21</w:t>
            </w:r>
          </w:p>
        </w:tc>
      </w:tr>
      <w:tr>
        <w:tc>
          <w:tcPr>
            <w:tcW w:w="720" w:type="dxa"/>
          </w:tcPr>
          <w:p>
            <w:pPr>
              <w:spacing w:after="0"/>
            </w:pPr>
            <w:r>
              <w:t>[10]</w:t>
            </w:r>
          </w:p>
        </w:tc>
        <w:tc>
          <w:tcPr>
            <w:tcW w:w="5616" w:type="dxa"/>
          </w:tcPr>
          <w:p>
            <w:pPr>
              <w:spacing w:after="0"/>
            </w:pPr>
            <w:r>
              <w:t>Vondrák, J. (2010). Submodularity and Curvature: The Optimal Algorithm.</w:t>
            </w:r>
          </w:p>
        </w:tc>
        <w:tc>
          <w:tcPr>
            <w:tcW w:w="2592" w:type="dxa"/>
          </w:tcPr>
          <w:p>
            <w:pPr>
              <w:spacing w:after="0"/>
            </w:pPr>
            <w:r>
              <w:t>RIMS Kôkyûroku Bessatsu; http://theory.stanford.edu/~jvondrak/data/submod-curv.pdf</w:t>
            </w:r>
          </w:p>
        </w:tc>
      </w:tr>
      <w:tr>
        <w:tc>
          <w:tcPr>
            <w:tcW w:w="720" w:type="dxa"/>
          </w:tcPr>
          <w:p>
            <w:pPr>
              <w:spacing w:after="0"/>
            </w:pPr>
            <w:r>
              <w:t>[11]</w:t>
            </w:r>
          </w:p>
        </w:tc>
        <w:tc>
          <w:tcPr>
            <w:tcW w:w="5616" w:type="dxa"/>
          </w:tcPr>
          <w:p>
            <w:pPr>
              <w:spacing w:after="0"/>
            </w:pPr>
            <w:r>
              <w:t>Xu, M., &amp; Klabjan, D. (2023). Pareto Regret Analyses in Multi-objective Multi-armed Bandit.</w:t>
            </w:r>
          </w:p>
        </w:tc>
        <w:tc>
          <w:tcPr>
            <w:tcW w:w="2592" w:type="dxa"/>
          </w:tcPr>
          <w:p>
            <w:pPr>
              <w:spacing w:after="0"/>
            </w:pPr>
            <w:r>
              <w:t>ICML, PMLR 202; https://proceedings.mlr.press/v202/xu23i.html</w:t>
            </w:r>
          </w:p>
        </w:tc>
      </w:tr>
      <w:tr>
        <w:tc>
          <w:tcPr>
            <w:tcW w:w="720" w:type="dxa"/>
          </w:tcPr>
          <w:p>
            <w:pPr>
              <w:spacing w:after="0"/>
            </w:pPr>
            <w:r>
              <w:t>[12]</w:t>
            </w:r>
          </w:p>
        </w:tc>
        <w:tc>
          <w:tcPr>
            <w:tcW w:w="5616" w:type="dxa"/>
          </w:tcPr>
          <w:p>
            <w:pPr>
              <w:spacing w:after="0"/>
            </w:pPr>
            <w:r>
              <w:t>Zhang, G., et al. (2025). EvoFlow: Evolving Diverse Agentic Workflows On The Fly.</w:t>
            </w:r>
          </w:p>
        </w:tc>
        <w:tc>
          <w:tcPr>
            <w:tcW w:w="2592" w:type="dxa"/>
          </w:tcPr>
          <w:p>
            <w:pPr>
              <w:spacing w:after="0"/>
            </w:pPr>
            <w:r>
              <w:t>arXiv:2502.07373</w:t>
            </w:r>
          </w:p>
        </w:tc>
      </w:tr>
      <w:tr>
        <w:tc>
          <w:tcPr>
            <w:tcW w:w="720" w:type="dxa"/>
          </w:tcPr>
          <w:p>
            <w:pPr>
              <w:spacing w:after="0"/>
            </w:pPr>
            <w:r>
              <w:t>[13]</w:t>
            </w:r>
          </w:p>
        </w:tc>
        <w:tc>
          <w:tcPr>
            <w:tcW w:w="5616" w:type="dxa"/>
          </w:tcPr>
          <w:p>
            <w:pPr>
              <w:spacing w:after="0"/>
            </w:pPr>
            <w:r>
              <w:t>Zhang, G., et al. (2025). Multi-agent Architecture Search via Agentic Supernet (MaAS).</w:t>
            </w:r>
          </w:p>
        </w:tc>
        <w:tc>
          <w:tcPr>
            <w:tcW w:w="2592" w:type="dxa"/>
          </w:tcPr>
          <w:p>
            <w:pPr>
              <w:spacing w:after="0"/>
            </w:pPr>
            <w:r>
              <w:t>arXiv:2502.04180; ICML 2025 Oral; https://arxiv.org/abs/2502.04180</w:t>
            </w:r>
          </w:p>
        </w:tc>
      </w:tr>
      <w:tr>
        <w:tc>
          <w:tcPr>
            <w:tcW w:w="720" w:type="dxa"/>
          </w:tcPr>
          <w:p>
            <w:pPr>
              <w:spacing w:after="0"/>
            </w:pPr>
            <w:r>
              <w:t>[14]</w:t>
            </w:r>
          </w:p>
        </w:tc>
        <w:tc>
          <w:tcPr>
            <w:tcW w:w="5616" w:type="dxa"/>
          </w:tcPr>
          <w:p>
            <w:pPr>
              <w:spacing w:after="0"/>
            </w:pPr>
            <w:r>
              <w:t>Zhang, J., et al. (2024). AFlow: Automating Agentic Workflow Generation.</w:t>
            </w:r>
          </w:p>
        </w:tc>
        <w:tc>
          <w:tcPr>
            <w:tcW w:w="2592" w:type="dxa"/>
          </w:tcPr>
          <w:p>
            <w:pPr>
              <w:spacing w:after="0"/>
            </w:pPr>
            <w:r>
              <w:t>arXiv:2410.10762; ICLR 2025; https://arxiv.org/abs/2410.10762</w:t>
            </w:r>
          </w:p>
        </w:tc>
      </w:tr>
      <w:tr>
        <w:tc>
          <w:tcPr>
            <w:tcW w:w="720" w:type="dxa"/>
          </w:tcPr>
          <w:p>
            <w:pPr>
              <w:spacing w:after="0"/>
            </w:pPr>
            <w:r>
              <w:t>[15]</w:t>
            </w:r>
          </w:p>
        </w:tc>
        <w:tc>
          <w:tcPr>
            <w:tcW w:w="5616" w:type="dxa"/>
          </w:tcPr>
          <w:p>
            <w:pPr>
              <w:spacing w:after="0"/>
            </w:pPr>
            <w:r>
              <w:t>HyEvo (2026年工作). Self-Evolving Hybrid Agentic Workflows for Efficient Reasoning.</w:t>
            </w:r>
          </w:p>
        </w:tc>
        <w:tc>
          <w:tcPr>
            <w:tcW w:w="2592" w:type="dxa"/>
          </w:tcPr>
          <w:p>
            <w:pPr>
              <w:spacing w:after="0"/>
            </w:pPr>
            <w:r>
              <w:t>arXiv:2603.19639（会议信息待正式发表后补全）</w:t>
            </w:r>
          </w:p>
        </w:tc>
      </w:tr>
    </w:tbl>
    <w:p/>
    <w:p>
      <w:r>
        <w:t>说明：以上文献信息均基于公开可查的标题、作者与渠道；对于尚未获取完整出版信息的条目（如 [15] HyEvo），采取“待正式发表后补全”的标注方式，未进行臆测性填充。</w:t>
      </w:r>
    </w:p>
    <w:p>
      <w:r>
        <w:br w:type="page"/>
      </w:r>
    </w:p>
    <w:p>
      <w:pPr>
        <w:pStyle w:val="Heading1"/>
      </w:pPr>
      <w:r>
        <w:t>附录说明</w:t>
      </w:r>
    </w:p>
    <w:p>
      <w:r>
        <w:t>本技术方案的完整数学证明细节——包括定理1（CS-DPP-NI组合遗憾界）、定理2（BiG-LinUCB帕累托遗憾界）、定理3（三层复合定理）、命题1（ACSR多样性下界）、命题2（在线曲率估计集中界）、命题3（近似比误差传导）的逐引理严格推导、显式新增假设 A1–A4，以及三层必要性论证的对抗性构造证明——见配套的《附录A：三层智能体工作流核心算法完整数学证明》文档（27页，已单独交付）。</w:t>
      </w:r>
    </w:p>
    <w:p>
      <w:r>
        <w:t>本方案第3章仅给出定理/命题的完整陈述与工程可实现的算法伪代码，避免与附录内容重复。建议投稿时将本方案第0–2、4–9章作为正文技术方案基础，将附录A的完整证明作为论文的数学附录。</w:t>
      </w:r>
    </w:p>
    <w:sectPr>
      <w:pgSz w:w="11906" w:h="16838"/>
      <w:pgMar w:top="1440" w:right="1440" w:bottom="1440" w:left="1440" w:header="720" w:footer="720" w:gutter="0"/>
      <w:cols w:space="708"/>
      <w:docGrid w:linePitch="360"/>
    </w:sectPr>
  </w:body>
</w:document>
</file>

<file path=word/fontTable.xml><?xml version="1.0" encoding="utf-8"?>
<w:fonts xmlns:w="http://schemas.openxmlformats.org/wordprocessingml/2006/main">
  <w:font w:name="Calibri"/>
  <w:font w:name="Noto Sans CJK SC"/>
  <w:font w:name="Courier New"/>
  <w:font w:name="Noto Sans Mono CJK SC"/>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fldSimple w:instr=" PAGE ">
      <w:r>
        <w:t>1</w:t>
      </w:r>
    </w:fldSimple>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fldSimple w:instr=" PAGE ">
      <w: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left"/>
    </w:pPr>
    <w:r>
      <w:t>NicheFlow 3.4 技术方案</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Noto Sans CJK SC" w:cs="Calibri"/>
        <w:sz w:val="22"/>
        <w:szCs w:val="22"/>
        <w:lang w:val="en-US" w:eastAsia="zh-CN"/>
      </w:rPr>
    </w:rPrDefault>
    <w:pPrDefault>
      <w:pPr>
        <w:spacing w:after="160" w:line="259" w:lineRule="auto"/>
      </w:pPr>
    </w:pPrDefault>
  </w:docDefaults>
  <w:style w:type="paragraph" w:styleId="Normal" w:default="1">
    <w:name w:val="Normal"/>
    <w:qFormat/>
  </w:style>
  <w:style w:type="character" w:styleId="DefaultParagraphFont" w:default="1">
    <w:name w:val="Default Paragraph Font"/>
  </w:style>
  <w:style w:type="paragraph" w:styleId="Title">
    <w:name w:val="Title"/>
    <w:basedOn w:val="Normal"/>
    <w:qFormat/>
    <w:pPr>
      <w:spacing w:before="0" w:after="120"/>
    </w:pPr>
    <w:rPr>
      <w:sz w:val="56"/>
      <w:szCs w:val="56"/>
    </w:rPr>
  </w:style>
  <w:style w:type="paragraph" w:styleId="Subtitle">
    <w:name w:val="Subtitle"/>
    <w:basedOn w:val="Normal"/>
    <w:qFormat/>
    <w:pPr>
      <w:spacing w:after="160"/>
    </w:pPr>
    <w:rPr>
      <w:color w:val="595959"/>
      <w:sz w:val="28"/>
      <w:szCs w:val="28"/>
    </w:rPr>
  </w:style>
  <w:style w:type="paragraph" w:styleId="Heading1">
    <w:name w:val="heading 1"/>
    <w:basedOn w:val="Normal"/>
    <w:qFormat/>
    <w:pPr>
      <w:keepNext/>
      <w:keepLines/>
      <w:spacing w:before="240" w:after="80"/>
      <w:outlineLvl w:val="0"/>
    </w:pPr>
    <w:rPr>
      <w:b/>
      <w:bCs/>
      <w:color w:val="2F5496"/>
      <w:sz w:val="32"/>
      <w:szCs w:val="32"/>
    </w:rPr>
  </w:style>
  <w:style w:type="paragraph" w:styleId="Heading2">
    <w:name w:val="heading 2"/>
    <w:basedOn w:val="Normal"/>
    <w:qFormat/>
    <w:pPr>
      <w:keepNext/>
      <w:keepLines/>
      <w:spacing w:before="200" w:after="80"/>
      <w:outlineLvl w:val="1"/>
    </w:pPr>
    <w:rPr>
      <w:b/>
      <w:bCs/>
      <w:color w:val="2F5496"/>
      <w:sz w:val="26"/>
      <w:szCs w:val="26"/>
    </w:rPr>
  </w:style>
  <w:style w:type="paragraph" w:styleId="Heading3">
    <w:name w:val="heading 3"/>
    <w:basedOn w:val="Normal"/>
    <w:qFormat/>
    <w:pPr>
      <w:keepNext/>
      <w:keepLines/>
      <w:spacing w:before="160" w:after="80"/>
      <w:outlineLvl w:val="2"/>
    </w:pPr>
    <w:rPr>
      <w:b/>
      <w:bCs/>
      <w:color w:val="1F3864"/>
      <w:sz w:val="24"/>
      <w:szCs w:val="24"/>
    </w:rPr>
  </w:style>
  <w:style w:type="paragraph" w:styleId="Heading4">
    <w:name w:val="heading 4"/>
    <w:basedOn w:val="Normal"/>
    <w:qFormat/>
    <w:pPr>
      <w:keepNext/>
      <w:keepLines/>
      <w:spacing w:before="160" w:after="40"/>
      <w:outlineLvl w:val="3"/>
    </w:pPr>
    <w:rPr>
      <w:b/>
      <w:bCs/>
      <w:i/>
      <w:iCs/>
      <w:color w:val="2F5496"/>
      <w:sz w:val="22"/>
      <w:szCs w:val="22"/>
    </w:rPr>
  </w:style>
  <w:style w:type="paragraph" w:styleId="Heading5">
    <w:name w:val="heading 5"/>
    <w:basedOn w:val="Normal"/>
    <w:qFormat/>
    <w:pPr>
      <w:keepNext/>
      <w:keepLines/>
      <w:spacing w:before="120" w:after="40"/>
      <w:outlineLvl w:val="4"/>
    </w:pPr>
    <w:rPr>
      <w:b/>
      <w:bCs/>
      <w:color w:val="1F3864"/>
      <w:sz w:val="22"/>
      <w:szCs w:val="22"/>
    </w:rPr>
  </w:style>
  <w:style w:type="paragraph" w:styleId="Heading6">
    <w:name w:val="heading 6"/>
    <w:basedOn w:val="Normal"/>
    <w:qFormat/>
    <w:pPr>
      <w:keepNext/>
      <w:keepLines/>
      <w:spacing w:before="120" w:after="40"/>
      <w:outlineLvl w:val="5"/>
    </w:pPr>
    <w:rPr>
      <w:i/>
      <w:iCs/>
      <w:color w:val="1F3864"/>
      <w:sz w:val="22"/>
      <w:szCs w:val="22"/>
    </w:rPr>
  </w:style>
  <w:style w:type="paragraph" w:styleId="Quote">
    <w:name w:val="Quote"/>
    <w:basedOn w:val="Normal"/>
    <w:qFormat/>
    <w:pPr>
      <w:pBdr>
        <w:left w:val="single" w:sz="24" w:space="8" w:color="CCCCCC"/>
      </w:pBdr>
      <w:spacing w:before="80" w:after="160"/>
      <w:ind w:left="360"/>
    </w:pPr>
    <w:rPr>
      <w:color w:val="595959"/>
    </w:rPr>
  </w:style>
  <w:style w:type="paragraph" w:styleId="Code">
    <w:name w:val="Code"/>
    <w:basedOn w:val="Normal"/>
    <w:qFormat/>
    <w:pPr>
      <w:keepLines/>
      <w:shd w:val="clear" w:color="auto" w:fill="F2F2F2"/>
      <w:spacing w:before="120" w:after="120" w:line="240" w:lineRule="auto"/>
    </w:pPr>
    <w:rPr>
      <w:rFonts w:ascii="Courier New" w:hAnsi="Courier New" w:eastAsia="Noto Sans Mono CJK SC" w:cs="Courier New"/>
      <w:sz w:val="19"/>
      <w:szCs w:val="19"/>
    </w:rPr>
  </w:style>
  <w:style w:type="character" w:styleId="CodeChar">
    <w:name w:val="Code Char"/>
    <w:rPr>
      <w:rFonts w:ascii="Courier New" w:hAnsi="Courier New" w:eastAsia="Noto Sans Mono CJK SC"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Normal" w:default="1">
    <w:name w:val="Normal Table"/>
    <w:tblPr>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s>
</file>

<file path=docProps/app.xml><?xml version="1.0" encoding="utf-8"?>
<Properties xmlns="http://schemas.openxmlformats.org/officeDocument/2006/extended-properties">
  <Application>gendocx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NicheFlow 3.4：面向顶会的三层智能体工作流搜索-部署-调度技术方案</dc:title>
  <dc:creator>gendocx</dc:creator>
  <cp:lastModifiedBy>gendocx</cp:lastModifiedBy>
  <dcterms:created xsi:type="dcterms:W3CDTF">2026-01-01T00:00:00Z</dcterms:created>
  <dcterms:modified xsi:type="dcterms:W3CDTF">2026-01-01T00:00:00Z</dcterms:modified>
</cp:coreProperties>
</file>