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Microsoft YaHei" w:hAnsi="Microsoft YaHei" w:eastAsia="Microsoft YaHei"/>
          <w:b/>
          <w:color w:val="2CA6B5"/>
          <w:sz w:val="20"/>
        </w:rPr>
        <w:t>AI-ASSISTED ENGINEERING</w:t>
      </w:r>
    </w:p>
    <w:p>
      <w:pPr>
        <w:pStyle w:val="Title"/>
        <w:spacing w:before="300" w:after="240"/>
      </w:pPr>
      <w:r>
        <w:t>The Eye of AI</w:t>
        <w:br/>
        <w:t>项目中的 AI 协作说明</w:t>
      </w:r>
    </w:p>
    <w:p>
      <w:pPr>
        <w:spacing w:after="480"/>
      </w:pPr>
      <w:r>
        <w:rPr>
          <w:rFonts w:ascii="Microsoft YaHei" w:hAnsi="Microsoft YaHei" w:eastAsia="Microsoft YaHei"/>
          <w:b w:val="0"/>
          <w:color w:val="52657A"/>
          <w:sz w:val="30"/>
        </w:rPr>
        <w:t>从需求澄清、工程实现到验证交付的人机协同过程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协作对象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Codex；Claude Code 客户端（实际接入 DeepSeek API）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协作周期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截图统计区间：2026-04-01 至 2026-07-04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人工职责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需求决策、硬件接线、实机测试、结果验收与最终取舍</w:t>
            </w:r>
          </w:p>
        </w:tc>
      </w:tr>
      <w:tr>
        <w:tc>
          <w:tcPr>
            <w:tcW w:type="dxa" w:w="5043"/>
            <w:shd w:fill="12305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AI职责</w:t>
            </w:r>
          </w:p>
        </w:tc>
        <w:tc>
          <w:tcPr>
            <w:tcW w:type="dxa" w:w="5043"/>
            <w:shd w:fill="F5F8FC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9"/>
              </w:rPr>
              <w:t>代码阅读、实现辅助、调试分析、文档整理与方案比较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054"/>
                <w:sz w:val="22"/>
              </w:rPr>
              <w:t>核心定位：以真实统计、真实工程任务和验收流程说明人机分工；AI 加速理解与实现，团队掌握决策、物理操作和最终验收。</w:t>
            </w:r>
          </w:p>
        </w:tc>
      </w:tr>
    </w:tbl>
    <w:p>
      <w:r>
        <w:br w:type="page"/>
      </w:r>
    </w:p>
    <w:p>
      <w:pPr>
        <w:pStyle w:val="Heading1"/>
      </w:pPr>
      <w:r>
        <w:t>1  协作定位：AI 是工程协作者，不是自动交付者</w:t>
      </w:r>
    </w:p>
    <w:p>
      <w:r>
        <w:t>The Eye of AI 本身关注“让 AI 看见并反馈现实世界”，项目的开发过程也采用了人机协同方式。团队负责确定目标、选择硬件、实际接线、运行测试和验收；AI 工具负责快速阅读代码库、生成候选实现、分析日志和整理文档。每项关键功能都经过真实设备或可执行程序验证，不能把模型输出直接等同于完成。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团队主导</w:t>
            </w:r>
          </w:p>
        </w:tc>
        <w:tc>
          <w:tcPr>
            <w:tcW w:type="dxa" w:w="2835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AI协助</w:t>
            </w:r>
          </w:p>
        </w:tc>
        <w:tc>
          <w:tcPr>
            <w:tcW w:type="dxa" w:w="2268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需求定义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确定原型边界、课程要求和展示目标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拆解任务、比较路线、补充风险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需求与实际条件一致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编码实现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确认接口、功能优先级和最终行为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阅读代码、生成补丁、解释 C++/Qt 结构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编译通过、功能可运行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硬件联调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接线、供电、烧录、观察真实现象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根据日志与现象定位串口、摄像头、GPIO 问题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板载按键、LCD、灯光和摄像头实测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文档答辩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确认事实、项目定位和演示重点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整理证据、生成图文说明、检查一致性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与仓库和原型机一致</w:t>
            </w:r>
          </w:p>
        </w:tc>
      </w:tr>
    </w:tbl>
    <w:p>
      <w:r>
        <w:br w:type="page"/>
      </w:r>
    </w:p>
    <w:p>
      <w:pPr>
        <w:pStyle w:val="Heading1"/>
      </w:pPr>
      <w:r>
        <w:t>2  协作规模总览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257097"/>
            <wp:docPr id="1" name="Picture 1" descr="Overall AI tool usage dashboard showing tokens, request count, cost and trends" title="Overall AI tool usage dashboard showing tokens, request count, cost and tren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4 083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1  AI 工具总体使用统计（统计平台截图）</w:t>
      </w:r>
    </w:p>
    <w:p>
      <w:r>
        <w:t>截图显示所选统计周期内各工具合计约 24.04 亿 Tokens、12,799 次请求，缓存命中率 95.0%。这些数据说明项目开发期间进行了高频、长周期的 AI 辅助工程活动，包括代码阅读、连续调试、界面迭代和文档制作。</w:t>
      </w:r>
    </w:p>
    <w:p>
      <w:r>
        <w:rPr>
          <w:rFonts w:ascii="Microsoft YaHei" w:hAnsi="Microsoft YaHei" w:eastAsia="Microsoft YaHei"/>
          <w:b/>
          <w:color w:val="C79A35"/>
          <w:sz w:val="21"/>
        </w:rPr>
        <w:t>口径说明：</w:t>
      </w:r>
      <w:r>
        <w:rPr>
          <w:rFonts w:ascii="Microsoft YaHei" w:hAnsi="Microsoft YaHei" w:eastAsia="Microsoft YaHei"/>
          <w:b w:val="0"/>
          <w:color w:val="16263B"/>
          <w:sz w:val="21"/>
        </w:rPr>
        <w:t>该统计反映账号/工具在所选周期的总体使用强度，不应未经额外审计就宣称全部请求只服务于本项目。答辩中应将其作为“协作背景证据”，而不是项目独占成本核算。</w:t>
      </w:r>
    </w:p>
    <w:p>
      <w:r>
        <w:br w:type="page"/>
      </w:r>
    </w:p>
    <w:p>
      <w:pPr>
        <w:pStyle w:val="Heading1"/>
      </w:pPr>
      <w:r>
        <w:t>3  Codex：主要工程协作通道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247194"/>
            <wp:docPr id="2" name="Picture 2" descr="Codex usage dashboard showing token consumption, cache hit rate and daily trend" title="Codex usage dashboard showing token consumption, cache hit rate and daily tre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4 0831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4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2  Codex 使用统计与趋势</w:t>
      </w:r>
    </w:p>
    <w:p>
      <w:pPr>
        <w:pStyle w:val="Heading2"/>
      </w:pPr>
      <w:r>
        <w:t>主要协作内容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仓库理解：浏览硬件端、树莓派桥接端和 Windows Qt 应用的目录、依赖和数据流。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代码实现：补充 C++ 类层次、视觉服务接口、文件存档、SSH 状态同步与桌面应用交互。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故障排查：根据串口、OpenCV、API、CMake、Qt DLL、摄像头和 systemd 日志定位问题。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视觉迭代：对 Qt 界面的布局、透明层、滚动、Markdown/LaTeX 和性能问题持续修改并验证。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交付整理：生成说明文档、答辩素材、目录结构和可复核的课程证据。</w:t>
      </w:r>
    </w:p>
    <w:p>
      <w:r>
        <w:t>Codex 统计页显示约 11.73 亿 Tokens、8,168 次请求和 91.4% 缓存命中率。较高缓存命中率与反复读取同一工程上下文的工作方式相符：模型并非只生成一次性答案，而是在同一代码库上持续迭代。</w:t>
      </w:r>
    </w:p>
    <w:p>
      <w:r>
        <w:br w:type="page"/>
      </w:r>
    </w:p>
    <w:p>
      <w:pPr>
        <w:pStyle w:val="Heading1"/>
      </w:pPr>
      <w:r>
        <w:t>4  Claude Code 客户端：实际接入 DeepSeek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257380"/>
            <wp:docPr id="3" name="Picture 3" descr="Usage dashboard labeled Claude Code; project note clarifies the actual model API was DeepSeek" title="Usage dashboard labeled Claude Code; project note clarifies the actual model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4 0831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5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3  “Claude Code”通道统计；本项目中该客户端实际接入 DeepSeek API</w:t>
      </w:r>
    </w:p>
    <w:p>
      <w:r>
        <w:rPr>
          <w:rFonts w:ascii="Microsoft YaHei" w:hAnsi="Microsoft YaHei" w:eastAsia="Microsoft YaHei"/>
          <w:b/>
          <w:color w:val="2667C9"/>
          <w:sz w:val="21"/>
        </w:rPr>
        <w:t>必须准确表述：</w:t>
      </w:r>
      <w:r>
        <w:rPr>
          <w:rFonts w:ascii="Microsoft YaHei" w:hAnsi="Microsoft YaHei" w:eastAsia="Microsoft YaHei"/>
          <w:b/>
          <w:color w:val="123054"/>
          <w:sz w:val="22"/>
        </w:rPr>
        <w:t>截图标签“Claude Code”描述的是客户端/统计通道，并不代表本项目调用了 Anthropic Claude 模型；该通道实际配置并调用的是 DeepSeek API。</w:t>
      </w:r>
    </w:p>
    <w:p>
      <w:pPr>
        <w:pStyle w:val="Heading2"/>
      </w:pPr>
      <w:r>
        <w:t>与 Codex 的分工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DeepSeek 侧更多承担替代性方案思考、解释性回答和部分代码推理。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Codex 侧更深入地连接本地工作区、运行命令、修改文件、构建并检查产物。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两条通道的结果由团队比较，最终以真实仓库、编译输出和硬件现象为准。</w:t>
      </w:r>
    </w:p>
    <w:p>
      <w:r>
        <w:t>该统计页约 12.30 亿 Tokens、4,631 次请求，缓存命中率 98.4%。高缓存复用说明大量工作依赖已有上下文，但仍需注意：Token 数量只反映计算和交互规模，不直接等价于代码质量。</w:t>
      </w:r>
    </w:p>
    <w:p>
      <w:r>
        <w:br w:type="page"/>
      </w:r>
    </w:p>
    <w:p>
      <w:pPr>
        <w:pStyle w:val="Heading1"/>
      </w:pPr>
      <w:r>
        <w:t>5  长周期协作与连续任务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759988"/>
            <wp:docPr id="4" name="Picture 4" descr="AI activity profile showing cumulative tokens, longest task, streak and activity calendar" title="AI activity profile showing cumulative tokens, longest task, streak and activ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7-04 0832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 w:val="0"/>
          <w:color w:val="52657A"/>
          <w:sz w:val="17"/>
        </w:rPr>
        <w:t>图 4  个人 AI 活动概览与连续使用记录</w:t>
      </w:r>
    </w:p>
    <w:p>
      <w:r>
        <w:t>活动概览显示累计约 9.9 亿 Tokens、最长单次任务 2 小时 5 分钟、当前连续 9 天、最长连续 20 天。它能说明开发不是一次性生成，而是持续反馈、持续修正的过程。</w:t>
      </w:r>
    </w:p>
    <w:p>
      <w:r>
        <w:rPr>
          <w:rFonts w:ascii="Microsoft YaHei" w:hAnsi="Microsoft YaHei" w:eastAsia="Microsoft YaHei"/>
          <w:b/>
          <w:color w:val="C79A35"/>
          <w:sz w:val="21"/>
        </w:rPr>
        <w:t>统计范围提示：</w:t>
      </w:r>
      <w:r>
        <w:rPr>
          <w:rFonts w:ascii="Microsoft YaHei" w:hAnsi="Microsoft YaHei" w:eastAsia="Microsoft YaHei"/>
          <w:b w:val="0"/>
          <w:color w:val="16263B"/>
          <w:sz w:val="21"/>
        </w:rPr>
        <w:t>此个人活动页与前述提供商统计仪表盘可能采用不同数据源、过滤规则和时间口径，因此不能简单相加。</w:t>
      </w:r>
    </w:p>
    <w:p>
      <w:pPr>
        <w:pStyle w:val="Heading2"/>
      </w:pPr>
      <w:r>
        <w:t>长任务对应的典型工程场景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树莓派、NUCLEO 与 Logitech C270 的跨设备联调，需要等待构建、烧录、重启和人工观察。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Qt 桌面应用的复杂布局与动态背景问题，需要修改、运行、截图、比对和继续修正。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课程报告与答辩材料必须逐页核对项目事实、图片和术语，不能只生成文字草稿。</w:t>
      </w:r>
    </w:p>
    <w:p>
      <w:r>
        <w:br w:type="page"/>
      </w:r>
    </w:p>
    <w:p>
      <w:pPr>
        <w:pStyle w:val="Heading1"/>
      </w:pPr>
      <w:r>
        <w:t>6  一次典型的人机协作闭环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34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102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实际动作</w:t>
            </w:r>
          </w:p>
        </w:tc>
        <w:tc>
          <w:tcPr>
            <w:tcW w:type="dxa" w:w="2835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责任归属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1. 描述问题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团队提供目标、报错、截图或硬件现象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人工主导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2. 收集证据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AI 读取代码、日志、构建配置；团队补充实机状态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共同完成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3. 形成假设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AI 给出可验证原因与最小修改方案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AI 辅助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4. 实施修改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AI 修改代码或脚本；团队完成接线、按键、供电等物理操作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按能力分工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5. 构建验证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运行 CMake/测试/烧录；观察串口、LCD、LED、摄像头和 UI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共同验证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6. 失败回退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保留日志，缩小变量，恢复到稳定路径或调整方案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人工决定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7. 固化成果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提交代码、更新文档、形成可复现步骤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共同完成</w:t>
            </w:r>
          </w:p>
        </w:tc>
      </w:tr>
    </w:tbl>
    <w:p>
      <w:pPr>
        <w:pStyle w:val="Heading2"/>
      </w:pPr>
      <w:r>
        <w:t>协作成果如何进入项目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不是把聊天答案贴进报告，而是把经过编译和实测的结果写入 C++ 源码、服务脚本、Qt 界面和说明文档。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硬件连接、屏幕内容、按键触发和 AI 响应均由团队在真实原型机上观察确认。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6263B"/>
          <w:sz w:val="20"/>
        </w:rPr>
        <w:t>Git 提交记录使修改过程可追溯，可区分稳定版本与后续试验版本。</w:t>
      </w:r>
    </w:p>
    <w:p>
      <w:r>
        <w:br w:type="page"/>
      </w:r>
    </w:p>
    <w:p>
      <w:pPr>
        <w:pStyle w:val="Heading1"/>
      </w:pPr>
      <w:r>
        <w:t>7  能力边界、风险与质量控制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可能表现</w:t>
            </w:r>
          </w:p>
        </w:tc>
        <w:tc>
          <w:tcPr>
            <w:tcW w:type="dxa" w:w="4535"/>
            <w:shd w:fill="1230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本项目控制方式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模型幻觉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编造接口、路径、硬件能力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先读仓库和日志；以实机与编译结果为准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过度修改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修复一个问题却破坏其他模块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最小改动、保留稳定提交、逐项验证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密钥泄露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API Key 进入仓库或文档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使用独立 key 文件/环境配置并加入忽略规则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统计误读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把工具总使用量当作项目独占成本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明确统计范围和口径，不做无依据归因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责任模糊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把 AI 生成等同于团队完成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5F8FC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6263B"/>
                <w:sz w:val="18"/>
              </w:rPr>
              <w:t>记录人工决策、接线、测试和验收环节</w:t>
            </w:r>
          </w:p>
        </w:tc>
      </w:tr>
    </w:tbl>
    <w:p>
      <w:pPr>
        <w:pStyle w:val="Heading2"/>
      </w:pPr>
      <w:r>
        <w:t>答辩推荐表述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B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054"/>
                <w:sz w:val="22"/>
              </w:rPr>
              <w:t>我们没有把 AI 当作替代开发者的黑箱，而是把它放进一个可验证的工程闭环：团队定义问题、决定架构并完成物理操作，AI 加速代码理解、实现和排错，最终由编译结果、日志和真实原型机现象验收。Claude Code 页面只是客户端通道标签，本项目该通道实际接入 DeepSeek API；Codex 则主要用于本地工程协作。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2657A"/>
        <w:sz w:val="17"/>
      </w:rPr>
      <w:t xml:space="preserve">The Eye of AI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2667C9"/>
        <w:sz w:val="17"/>
      </w:rPr>
      <w:t>THE EYE OF AI  /  COURSE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05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67C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A6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0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Eye of AI：项目中的AI协作说明</dc:title>
  <dc:subject>The Eye of AI 课程答辩辅助材料</dc:subject>
  <dc:creator>The Eye of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