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Microsoft YaHei" w:hAnsi="Microsoft YaHei" w:eastAsia="Microsoft YaHei"/>
          <w:b/>
          <w:color w:val="2CA6B5"/>
          <w:sz w:val="20"/>
        </w:rPr>
        <w:t>C++ COURSE EVIDENCE</w:t>
      </w:r>
    </w:p>
    <w:p>
      <w:pPr>
        <w:pStyle w:val="Title"/>
        <w:spacing w:before="300" w:after="240"/>
      </w:pPr>
      <w:r>
        <w:t>The Eye of AI</w:t>
        <w:br/>
        <w:t>C++继承、多态与文件读写说明</w:t>
      </w:r>
    </w:p>
    <w:p>
      <w:pPr>
        <w:spacing w:after="480"/>
      </w:pPr>
      <w:r>
        <w:rPr>
          <w:rFonts w:ascii="Microsoft YaHei" w:hAnsi="Microsoft YaHei" w:eastAsia="Microsoft YaHei"/>
          <w:b w:val="0"/>
          <w:color w:val="52657A"/>
          <w:sz w:val="30"/>
        </w:rPr>
        <w:t>从真实工程代码出发的面向对象与持久化设计解读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The Eye of AI（AI 现实桥接原型机）</w:t>
            </w:r>
          </w:p>
        </w:tc>
      </w:tr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hardware/pi_bridge 与 software/windows_control_center</w:t>
            </w:r>
          </w:p>
        </w:tc>
      </w:tr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证据形式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CodeSnap 风格代码图 + 文件路径/行号 + 设计解释</w:t>
            </w:r>
          </w:p>
        </w:tc>
      </w:tr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生成日期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2026-07-04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054"/>
                <w:sz w:val="22"/>
              </w:rPr>
              <w:t>核心定位：通过可复核的真实代码与设计解释，说明项目如何满足 C++ 面向对象和文件读写要求。</w:t>
            </w:r>
          </w:p>
        </w:tc>
      </w:tr>
    </w:tbl>
    <w:p>
      <w:r>
        <w:br w:type="page"/>
      </w:r>
    </w:p>
    <w:p>
      <w:pPr>
        <w:pStyle w:val="Heading1"/>
      </w:pPr>
      <w:r>
        <w:t>证据总览</w:t>
      </w:r>
    </w:p>
    <w:p>
      <w:pPr>
        <w:spacing w:after="200"/>
      </w:pPr>
      <w:r>
        <w:t>本说明选取四段能代表项目核心结构的真实代码。代码图由浏览器直接渲染项目源代码生成，不改写原始语义；正文进一步说明其在系统中的职责。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课程要求</w:t>
            </w:r>
          </w:p>
        </w:tc>
        <w:tc>
          <w:tcPr>
            <w:tcW w:type="dxa" w:w="3969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项目证据</w:t>
            </w:r>
          </w:p>
        </w:tc>
        <w:tc>
          <w:tcPr>
            <w:tcW w:type="dxa" w:w="3402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工程价值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继承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DeviceComponent → OutputDevice → Binary/TextOutputDevice → NUCLEO 具体设备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把共性上移、差异下沉，形成可扩展硬件抽象层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多态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AiVisionService 的 Mock/Qwen 实现与运行时选择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上层逻辑只依赖接口，模型服务可替换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随机文件读写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AuditLogStore 固定长度二进制记录 + seekg/seekp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按 ID 定位和原位更新，避免全文件扫描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结构化文件读写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QFile + QJsonDocument 保存/恢复会话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支持桌面端历史对话的可读持久化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2667C9"/>
          <w:sz w:val="21"/>
        </w:rPr>
        <w:t>阅读提示：</w:t>
      </w:r>
      <w:r>
        <w:rPr>
          <w:rFonts w:ascii="Microsoft YaHei" w:hAnsi="Microsoft YaHei" w:eastAsia="Microsoft YaHei"/>
          <w:b w:val="0"/>
          <w:color w:val="16263B"/>
          <w:sz w:val="21"/>
        </w:rPr>
        <w:t>继承回答“类型之间是什么关系”，多态回答“同一个接口如何在运行时表现不同”，文件读写回答“运行数据如何跨进程和跨启动周期保存”。</w:t>
      </w:r>
    </w:p>
    <w:p>
      <w:r>
        <w:br w:type="page"/>
      </w:r>
    </w:p>
    <w:p>
      <w:pPr>
        <w:pStyle w:val="Heading1"/>
      </w:pPr>
      <w:r>
        <w:t>第一部分  C++继承</w:t>
      </w:r>
    </w:p>
    <w:p>
      <w:pPr>
        <w:pStyle w:val="Heading2"/>
      </w:pPr>
      <w:r>
        <w:t>1.1 多层输出设备继承体系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507992"/>
            <wp:docPr id="1" name="Picture 1" descr="C++ inheritance hierarchy from DeviceComponent to NucleoLedDevice and NucleoOledDevice" title="C++ inheritance hierarchy from DeviceComponent to NucleoLedDevice and NucleoOl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nap-inheri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1  输出设备的多层继承关系（项目真实代码）</w:t>
      </w:r>
    </w:p>
    <w:p>
      <w:pPr>
        <w:pStyle w:val="Heading3"/>
      </w:pPr>
      <w:r>
        <w:t>代码关系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DeviceComponent 是所有硬件组件的抽象根类，提供虚析构函数和纯虚函数 selfTest()。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OutputDevice 继承 DeviceComponent，继续规定所有输出设备都必须支持 turnOff()。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BinaryOutputDevice 与 TextOutputDevice 将输出能力分成开关型和文本型两个分支。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NucleoLedDevice 与 NucleoOledDevice 使用 final 表明继承链在具体硬件类处收束，并通过 override 完成实际实现。</w:t>
      </w:r>
    </w:p>
    <w:p>
      <w:pPr>
        <w:pStyle w:val="Heading3"/>
      </w:pPr>
      <w:r>
        <w:t>为什么不是简单堆类</w:t>
      </w:r>
    </w:p>
    <w:p>
      <w:r>
        <w:t>继承体系把协议差异隔离在具体设备类中。上层只面对 DeviceComponent / OutputDevice 抽象即可完成自检和输出；新增设备时增加派生类即可，不必重写主流程。</w:t>
      </w:r>
    </w:p>
    <w:p>
      <w:r>
        <w:br w:type="page"/>
      </w:r>
    </w:p>
    <w:p>
      <w:pPr>
        <w:pStyle w:val="Heading1"/>
      </w:pPr>
      <w:r>
        <w:t>第二部分  C++多态</w:t>
      </w:r>
    </w:p>
    <w:p>
      <w:pPr>
        <w:pStyle w:val="Heading2"/>
      </w:pPr>
      <w:r>
        <w:t>2.1 统一视觉接口与运行时动态绑定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507992"/>
            <wp:docPr id="2" name="Picture 2" descr="C++ runtime polymorphism selecting mock or Qwen vision service through a base reference" title="C++ runtime polymorphism selecting mock or Qwen vision service through a base 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nap-polymorph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2  AiVisionService 接口的运行时多态（项目真实代码）</w:t>
      </w:r>
    </w:p>
    <w:p>
      <w:pPr>
        <w:pStyle w:val="Heading3"/>
      </w:pPr>
      <w:r>
        <w:t>动态绑定发生在哪里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AiVisionService 声明纯虚函数 analyzeImage()，定义视觉分析服务必须遵守的统一契约。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MockAiVisionService 和 QwenVisionService 分别提供离线模拟实现与真实 API 实现。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main.cpp 根据启动参数选择具体对象，但只把 AiVisionService&amp; 基类引用交给 App。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App.cpp 调用同一个 analyzeImage()，C++ 在运行时自动分派到 Mock 或 Qwen 的重写函数。</w:t>
      </w:r>
    </w:p>
    <w:p>
      <w:pPr>
        <w:pStyle w:val="Heading3"/>
      </w:pPr>
      <w:r>
        <w:t>多态带来的工程收益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可测试：没有网络和 API Key 时可切换 Mock 实现，仍能验证完整业务流程。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可替换：未来可接入其他视觉模型，而不改变 App 的调用方式。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低耦合：鉴权、HTTP 请求与响应解析被限制在具体服务类内部。</w:t>
      </w:r>
    </w:p>
    <w:p>
      <w:r>
        <w:br w:type="page"/>
      </w:r>
    </w:p>
    <w:p>
      <w:pPr>
        <w:pStyle w:val="Heading1"/>
      </w:pPr>
      <w:r>
        <w:t>第三部分  C++文件读写</w:t>
      </w:r>
    </w:p>
    <w:p>
      <w:pPr>
        <w:pStyle w:val="Heading2"/>
      </w:pPr>
      <w:r>
        <w:t>3.1 二进制随机文件读写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090922"/>
            <wp:docPr id="3" name="Picture 3" descr="Binary random-access file I/O using fstream seekg and seekp" title="Binary random-access file I/O using fstream seekg and seek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nap-random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0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3  AuditLogStore 的随机读取与原位更新（项目真实代码）</w:t>
      </w:r>
    </w:p>
    <w:p>
      <w:pPr>
        <w:pStyle w:val="Heading3"/>
      </w:pPr>
      <w:r>
        <w:t>为什么属于随机文件读写</w:t>
      </w:r>
    </w:p>
    <w:p>
      <w:r>
        <w:t>AuditLogStore 把每条审计日志编码为固定长度 Record。recordOffset(id) 将记录编号换算成字节偏移，seekg() 直接跳转读取，seekp() 直接跳转写回。因此程序不需要从第一条记录依次扫描到目标记录，这正是随机访问文件的典型实现。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std::ios::binary 保证按二进制字节读写固定长度记录。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magic、version 与 id 校验用于发现格式错误、版本不兼容或偏移异常。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updateStatus() 只覆盖目标记录，不重写整个日志文件，适合频繁状态更新。</w:t>
      </w:r>
    </w:p>
    <w:p>
      <w:r>
        <w:br w:type="page"/>
      </w:r>
    </w:p>
    <w:p>
      <w:pPr>
        <w:pStyle w:val="Heading2"/>
      </w:pPr>
      <w:r>
        <w:t>3.2 Qt JSON 结构化会话存档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090922"/>
            <wp:docPr id="4" name="Picture 4" descr="Qt JSON conversation persistence using QFile and QJsonDocument" title="Qt JSON conversation persistence using QFile and QJson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nap-json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0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4  桌面端会话历史的 JSON 保存与恢复（项目真实代码）</w:t>
      </w:r>
    </w:p>
    <w:p>
      <w:pPr>
        <w:pStyle w:val="Heading3"/>
      </w:pPr>
      <w:r>
        <w:t>存储结构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每个 ArchivedChatSession 保存 sessionId、title、timestamp 和 messages。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每条消息保存 role、title、rawText 和 imagePath，既能恢复文字上下文，也能关联图片。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QJsonDocument::Indented 输出可读 JSON，便于调试、备份和人工检查。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启动时以 QFile 的 ReadOnly 模式读取并解析，重建历史会话列表。</w:t>
      </w:r>
    </w:p>
    <w:p>
      <w:pPr>
        <w:pStyle w:val="Heading3"/>
      </w:pPr>
      <w:r>
        <w:t>两种文件读写为何同时存在</w:t>
      </w:r>
    </w:p>
    <w:p>
      <w:r>
        <w:t>二进制随机文件适合高频、固定结构的审计记录；JSON 适合结构变化较多、需要可读性和跨版本兼容的对话历史。项目根据数据特性选择不同存储形式，而不是把所有数据硬塞进同一种文件。</w:t>
      </w:r>
    </w:p>
    <w:p>
      <w:r>
        <w:br w:type="page"/>
      </w:r>
    </w:p>
    <w:p>
      <w:pPr>
        <w:pStyle w:val="Heading1"/>
      </w:pPr>
      <w:r>
        <w:t>答辩可直接使用的结论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236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建议回答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项目有没有两层以上继承？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有。DeviceComponent → OutputDevice → BinaryOutputDevice/TextOutputDevice → NUCLEO 具体设备，形成三层以上继承链。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项目有没有多态？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有。App 持有 AiVisionService 基类引用，运行时分派到 MockAiVisionService 或 QwenVisionService。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文件读写是什么形式？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同时包含 STL fstream 二进制随机读写，以及 Qt QFile/QJsonDocument 的结构化 JSON 顺序读写。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这些设计是否参与真实功能？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参与。硬件设备抽象用于状态输出，视觉服务接口用于模型切换，审计日志和会话存档用于运行记录与历史恢复。</w:t>
            </w:r>
          </w:p>
        </w:tc>
      </w:tr>
    </w:tbl>
    <w:p>
      <w:pPr>
        <w:spacing w:before="240"/>
      </w:pPr>
      <w:r>
        <w:rPr>
          <w:rFonts w:ascii="Microsoft YaHei" w:hAnsi="Microsoft YaHei" w:eastAsia="Microsoft YaHei"/>
          <w:b/>
          <w:color w:val="2667C9"/>
          <w:sz w:val="21"/>
        </w:rPr>
        <w:t>一句话总结：</w:t>
      </w:r>
      <w:r>
        <w:rPr>
          <w:rFonts w:ascii="Microsoft YaHei" w:hAnsi="Microsoft YaHei" w:eastAsia="Microsoft YaHei"/>
          <w:b/>
          <w:color w:val="123054"/>
          <w:sz w:val="22"/>
        </w:rPr>
        <w:t>本项目用继承建立稳定类型体系，用多态完成运行时替换，用二进制随机文件与 JSON 文件分别承载审计记录和会话历史。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2657A"/>
        <w:sz w:val="17"/>
      </w:rPr>
      <w:t xml:space="preserve">The Eye of AI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2667C9"/>
        <w:sz w:val="17"/>
      </w:rPr>
      <w:t>THE EYE OF AI  /  COURSE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05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67C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A6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0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Eye of AI：C++继承、多态与文件读写说明</dc:title>
  <dc:subject>The Eye of AI 课程答辩辅助材料</dc:subject>
  <dc:creator>The Eye of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