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Segoe UI" w:hAnsi="Segoe UI"/>
          <w:b/>
          <w:color w:val="005B60"/>
          <w:sz w:val="48"/>
        </w:rPr>
        <w:t>DevOps Principles &amp; Core Practices</w:t>
      </w:r>
    </w:p>
    <w:p>
      <w:pPr>
        <w:keepNext/>
        <w:spacing w:before="40" w:after="360"/>
      </w:pPr>
      <w:r>
        <w:rPr>
          <w:rFonts w:ascii="Segoe UI" w:hAnsi="Segoe UI"/>
          <w:color w:val="00838F"/>
          <w:sz w:val="23"/>
        </w:rPr>
        <w:t>High-Level Overview &amp; Research Deliverable</w:t>
      </w:r>
    </w:p>
    <w:p>
      <w:pPr>
        <w:spacing w:after="240"/>
        <w:pBdr>
          <w:bottom w:val="single" w:sz="6" w:space="1" w:color="78909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left w:w="200" w:type="dxa"/>
              <w:right w:w="200" w:type="dxa"/>
            </w:tcMar>
            <w:shd w:fill="F4FBFB"/>
            <w:tcBorders>
              <w:top w:val="none"/>
              <w:bottom w:val="none"/>
              <w:left w:val="single" w:sz="24" w:color="005B60"/>
              <w:right w:val="none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005B60"/>
                <w:sz w:val="22"/>
              </w:rPr>
              <w:t>Executive Summary</w:t>
            </w:r>
          </w:p>
          <w:p>
            <w:pPr>
              <w:spacing w:before="40" w:after="0"/>
            </w:pPr>
            <w:r>
              <w:rPr>
                <w:rFonts w:ascii="Segoe UI" w:hAnsi="Segoe UI"/>
                <w:color w:val="263238"/>
                <w:sz w:val="20"/>
              </w:rPr>
              <w:t>DevOps is a cultural and professional movement that stresses communication, collaboration, integration, and automation between software developers and IT operations professionals. This research deliverable establishes the foundational history, core principles (CAMS), and industry-standard workflows that drive efficient software delivery within modern cloud-native environments.</w:t>
            </w:r>
          </w:p>
        </w:tc>
      </w:tr>
    </w:tbl>
    <w:p>
      <w:pPr>
        <w:spacing w:before="240" w:after="0"/>
      </w:pPr>
    </w:p>
    <w:p>
      <w:pPr>
        <w:keepNext/>
        <w:spacing w:before="320" w:after="120"/>
        <w:pBdr>
          <w:bottom w:val="single" w:sz="12" w:space="4" w:color="005B60"/>
        </w:pBdr>
      </w:pPr>
      <w:r>
        <w:rPr>
          <w:rFonts w:ascii="Segoe UI" w:hAnsi="Segoe UI"/>
          <w:b/>
          <w:color w:val="005B60"/>
          <w:sz w:val="32"/>
        </w:rPr>
        <w:t>1. Evolution of Software Delivery</w:t>
      </w:r>
    </w:p>
    <w:p>
      <w:pPr>
        <w:spacing w:before="80" w:after="120" w:line="276" w:lineRule="auto"/>
      </w:pPr>
      <w:r>
        <w:rPr>
          <w:rFonts w:ascii="Segoe UI" w:hAnsi="Segoe UI"/>
        </w:rPr>
        <w:t>Understanding the history of DevOps requires looking back at how legacy development models operated and the organizational bottlenecks they introduced over time.</w:t>
      </w:r>
    </w:p>
    <w:p>
      <w:pPr>
        <w:pStyle w:val="ListBullet"/>
        <w:spacing w:before="40" w:after="60" w:line="264" w:lineRule="auto"/>
      </w:pPr>
      <w:r>
        <w:rPr>
          <w:rFonts w:ascii="Segoe UI" w:hAnsi="Segoe UI"/>
          <w:b/>
          <w:color w:val="005B60"/>
        </w:rPr>
        <w:t>The Waterfall Era:</w:t>
      </w:r>
      <w:r>
        <w:rPr>
          <w:rFonts w:ascii="Segoe UI" w:hAnsi="Segoe UI"/>
        </w:rPr>
        <w:t xml:space="preserve"> Characterized by linear, sequential stages where development and operations were isolated silos. This led to prolonged release cycles (months or years), substantial deployment risks, and communication breakdowns.</w:t>
      </w:r>
    </w:p>
    <w:p>
      <w:pPr>
        <w:pStyle w:val="ListBullet"/>
        <w:spacing w:before="40" w:after="60" w:line="264" w:lineRule="auto"/>
      </w:pPr>
      <w:r>
        <w:rPr>
          <w:rFonts w:ascii="Segoe UI" w:hAnsi="Segoe UI"/>
          <w:b/>
          <w:color w:val="005B60"/>
        </w:rPr>
        <w:t>The Agile Movement:</w:t>
      </w:r>
      <w:r>
        <w:rPr>
          <w:rFonts w:ascii="Segoe UI" w:hAnsi="Segoe UI"/>
        </w:rPr>
        <w:t xml:space="preserve"> Introduced iterative, customer-centric development cycles in the early 2000s. While Agile significantly improved the speed of feature creation, deployment bottlenecks remained due to disconnected infrastructure management.</w:t>
      </w:r>
    </w:p>
    <w:p>
      <w:pPr>
        <w:pStyle w:val="ListBullet"/>
        <w:spacing w:before="40" w:after="60" w:line="264" w:lineRule="auto"/>
      </w:pPr>
      <w:r>
        <w:rPr>
          <w:rFonts w:ascii="Segoe UI" w:hAnsi="Segoe UI"/>
          <w:b/>
          <w:color w:val="005B60"/>
        </w:rPr>
        <w:t>The Birth of DevOps:</w:t>
      </w:r>
      <w:r>
        <w:rPr>
          <w:rFonts w:ascii="Segoe UI" w:hAnsi="Segoe UI"/>
        </w:rPr>
        <w:t xml:space="preserve"> Formally emerged in 2009 after Patrick Debois hosted the first DevOpsDays in Ghent, Belgium. It combined the speed of Agile methodologies with a heavily collaborative and automated operations workflow to remove the 'wall of confusion'.</w:t>
      </w:r>
    </w:p>
    <w:p>
      <w:pPr>
        <w:keepNext/>
        <w:spacing w:before="320" w:after="120"/>
        <w:pBdr>
          <w:bottom w:val="single" w:sz="12" w:space="4" w:color="005B60"/>
        </w:pBdr>
      </w:pPr>
      <w:r>
        <w:rPr>
          <w:rFonts w:ascii="Segoe UI" w:hAnsi="Segoe UI"/>
          <w:b/>
          <w:color w:val="005B60"/>
          <w:sz w:val="32"/>
        </w:rPr>
        <w:t>2. Core Principles: The CAMS Framework</w:t>
      </w:r>
    </w:p>
    <w:p>
      <w:pPr>
        <w:spacing w:before="80" w:after="120"/>
      </w:pPr>
      <w:r>
        <w:rPr>
          <w:rFonts w:ascii="Segoe UI" w:hAnsi="Segoe UI"/>
        </w:rPr>
        <w:t>The DevOps philosophy is best captured by the CAMS framework, established to emphasize that success relies on both organizational culture and technological capabilities:</w:t>
      </w:r>
    </w:p>
    <w:p>
      <w:pPr>
        <w:pStyle w:val="ListBullet"/>
        <w:spacing w:before="40" w:after="60" w:line="264" w:lineRule="auto"/>
      </w:pPr>
      <w:r>
        <w:rPr>
          <w:rFonts w:ascii="Segoe UI" w:hAnsi="Segoe UI"/>
          <w:b/>
          <w:color w:val="00838F"/>
        </w:rPr>
        <w:t>Culture:</w:t>
      </w:r>
      <w:r>
        <w:rPr>
          <w:rFonts w:ascii="Segoe UI" w:hAnsi="Segoe UI"/>
        </w:rPr>
        <w:t xml:space="preserve"> Encourages cross-functional collaboration. Shared responsibility across developers, QA, and operations eliminates blaming and fosters empathy for operational stability.</w:t>
      </w:r>
    </w:p>
    <w:p>
      <w:pPr>
        <w:pStyle w:val="ListBullet"/>
        <w:spacing w:before="40" w:after="60" w:line="264" w:lineRule="auto"/>
      </w:pPr>
      <w:r>
        <w:rPr>
          <w:rFonts w:ascii="Segoe UI" w:hAnsi="Segoe UI"/>
          <w:b/>
          <w:color w:val="00838F"/>
        </w:rPr>
        <w:t>Automation:</w:t>
      </w:r>
      <w:r>
        <w:rPr>
          <w:rFonts w:ascii="Segoe UI" w:hAnsi="Segoe UI"/>
        </w:rPr>
        <w:t xml:space="preserve"> Eliminates human error and manual overhead. Automating builds, testing, security scans, and environment deployments allows teams to confidently accelerate delivery.</w:t>
      </w:r>
    </w:p>
    <w:p>
      <w:pPr>
        <w:pStyle w:val="ListBullet"/>
        <w:spacing w:before="40" w:after="60" w:line="264" w:lineRule="auto"/>
      </w:pPr>
      <w:r>
        <w:rPr>
          <w:rFonts w:ascii="Segoe UI" w:hAnsi="Segoe UI"/>
          <w:b/>
          <w:color w:val="00838F"/>
        </w:rPr>
        <w:t>Measurement:</w:t>
      </w:r>
      <w:r>
        <w:rPr>
          <w:rFonts w:ascii="Segoe UI" w:hAnsi="Segoe UI"/>
        </w:rPr>
        <w:t xml:space="preserve"> Leverages analytical monitoring and data-driven insights. Key metrics such as Deployment Frequency, Lead Time for Changes, and Mean Time to Recovery (MTTR) guide process improvement.</w:t>
      </w:r>
    </w:p>
    <w:p>
      <w:pPr>
        <w:pStyle w:val="ListBullet"/>
        <w:spacing w:before="40" w:after="60" w:line="264" w:lineRule="auto"/>
      </w:pPr>
      <w:r>
        <w:rPr>
          <w:rFonts w:ascii="Segoe UI" w:hAnsi="Segoe UI"/>
          <w:b/>
          <w:color w:val="00838F"/>
        </w:rPr>
        <w:t>Sharing:</w:t>
      </w:r>
      <w:r>
        <w:rPr>
          <w:rFonts w:ascii="Segoe UI" w:hAnsi="Segoe UI"/>
        </w:rPr>
        <w:t xml:space="preserve"> Prioritizes open knowledge transfer and tooling visibility across departments. Successes, failures, and infrastructure practices are visible to all teams to prevent siloing.</w:t>
      </w:r>
    </w:p>
    <w:p>
      <w:pPr>
        <w:keepNext/>
        <w:spacing w:before="320" w:after="120"/>
        <w:pBdr>
          <w:bottom w:val="single" w:sz="12" w:space="4" w:color="005B60"/>
        </w:pBdr>
      </w:pPr>
      <w:r>
        <w:rPr>
          <w:rFonts w:ascii="Segoe UI" w:hAnsi="Segoe UI"/>
          <w:b/>
          <w:color w:val="005B60"/>
          <w:sz w:val="32"/>
        </w:rPr>
        <w:t>3. The DevOps Lifecycle &amp; Toolchain</w:t>
      </w:r>
    </w:p>
    <w:p>
      <w:pPr>
        <w:spacing w:before="80" w:after="160"/>
      </w:pPr>
      <w:r>
        <w:rPr>
          <w:rFonts w:ascii="Segoe UI" w:hAnsi="Segoe UI"/>
        </w:rPr>
        <w:t>The modern DevOps lifecycle uses a continuous loop of interconnected phases. Selecting the right tools for each phase ensures workflow consistency across teams: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728"/>
            <w:tcMar>
              <w:top w:w="140" w:type="dxa"/>
              <w:bottom w:w="140" w:type="dxa"/>
              <w:left w:w="160" w:type="dxa"/>
              <w:right w:w="160" w:type="dxa"/>
            </w:tcMar>
            <w:shd w:fill="005B60"/>
            <w:tcBorders>
              <w:top w:val="none"/>
              <w:bottom w:val="single" w:sz="18" w:color="263238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752"/>
            <w:tcMar>
              <w:top w:w="140" w:type="dxa"/>
              <w:bottom w:w="140" w:type="dxa"/>
              <w:left w:w="160" w:type="dxa"/>
              <w:right w:w="160" w:type="dxa"/>
            </w:tcMar>
            <w:shd w:fill="005B60"/>
            <w:tcBorders>
              <w:top w:val="none"/>
              <w:bottom w:val="single" w:sz="18" w:color="263238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Core Purpose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60" w:type="dxa"/>
              <w:right w:w="160" w:type="dxa"/>
            </w:tcMar>
            <w:shd w:fill="005B60"/>
            <w:tcBorders>
              <w:top w:val="none"/>
              <w:bottom w:val="single" w:sz="18" w:color="263238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Standard Tools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60" w:type="dxa"/>
              <w:right w:w="160" w:type="dxa"/>
            </w:tcMar>
            <w:shd w:fill="FFFFFF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5B60"/>
                <w:sz w:val="19"/>
              </w:rPr>
              <w:t>Plan</w:t>
            </w:r>
          </w:p>
        </w:tc>
        <w:tc>
          <w:tcPr>
            <w:tcW w:type="dxa" w:w="4752"/>
            <w:tcMar>
              <w:top w:w="110" w:type="dxa"/>
              <w:bottom w:w="110" w:type="dxa"/>
              <w:left w:w="160" w:type="dxa"/>
              <w:right w:w="160" w:type="dxa"/>
            </w:tcMar>
            <w:shd w:fill="FFFFFF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63238"/>
                <w:sz w:val="19"/>
              </w:rPr>
              <w:t>Project management, feature tracking, and backlog planning.</w:t>
            </w:r>
          </w:p>
        </w:tc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  <w:shd w:fill="FFFFFF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00838F"/>
                <w:sz w:val="19"/>
              </w:rPr>
              <w:t>Jira, Confluence, Trello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60" w:type="dxa"/>
              <w:right w:w="160" w:type="dxa"/>
            </w:tcMar>
            <w:shd w:fill="F4FBFB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5B60"/>
                <w:sz w:val="19"/>
              </w:rPr>
              <w:t>Code</w:t>
            </w:r>
          </w:p>
        </w:tc>
        <w:tc>
          <w:tcPr>
            <w:tcW w:type="dxa" w:w="4752"/>
            <w:tcMar>
              <w:top w:w="110" w:type="dxa"/>
              <w:bottom w:w="110" w:type="dxa"/>
              <w:left w:w="160" w:type="dxa"/>
              <w:right w:w="160" w:type="dxa"/>
            </w:tcMar>
            <w:shd w:fill="F4FBFB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63238"/>
                <w:sz w:val="19"/>
              </w:rPr>
              <w:t>Collaborative version control and source code management.</w:t>
            </w:r>
          </w:p>
        </w:tc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  <w:shd w:fill="F4FBFB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00838F"/>
                <w:sz w:val="19"/>
              </w:rPr>
              <w:t>Git, GitHub, GitLab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60" w:type="dxa"/>
              <w:right w:w="160" w:type="dxa"/>
            </w:tcMar>
            <w:shd w:fill="FFFFFF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5B60"/>
                <w:sz w:val="19"/>
              </w:rPr>
              <w:t>Build/CI</w:t>
            </w:r>
          </w:p>
        </w:tc>
        <w:tc>
          <w:tcPr>
            <w:tcW w:type="dxa" w:w="4752"/>
            <w:tcMar>
              <w:top w:w="110" w:type="dxa"/>
              <w:bottom w:w="110" w:type="dxa"/>
              <w:left w:w="160" w:type="dxa"/>
              <w:right w:w="160" w:type="dxa"/>
            </w:tcMar>
            <w:shd w:fill="FFFFFF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63238"/>
                <w:sz w:val="19"/>
              </w:rPr>
              <w:t>Automated code integration, unit testing, and artifact building.</w:t>
            </w:r>
          </w:p>
        </w:tc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  <w:shd w:fill="FFFFFF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00838F"/>
                <w:sz w:val="19"/>
              </w:rPr>
              <w:t>Jenkins, GitHub Actions, GitLab CI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60" w:type="dxa"/>
              <w:right w:w="160" w:type="dxa"/>
            </w:tcMar>
            <w:shd w:fill="F4FBFB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5B60"/>
                <w:sz w:val="19"/>
              </w:rPr>
              <w:t>Deploy</w:t>
            </w:r>
          </w:p>
        </w:tc>
        <w:tc>
          <w:tcPr>
            <w:tcW w:type="dxa" w:w="4752"/>
            <w:tcMar>
              <w:top w:w="110" w:type="dxa"/>
              <w:bottom w:w="110" w:type="dxa"/>
              <w:left w:w="160" w:type="dxa"/>
              <w:right w:w="160" w:type="dxa"/>
            </w:tcMar>
            <w:shd w:fill="F4FBFB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63238"/>
                <w:sz w:val="19"/>
              </w:rPr>
              <w:t>Packaging and running consistent environments across stages.</w:t>
            </w:r>
          </w:p>
        </w:tc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  <w:shd w:fill="F4FBFB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00838F"/>
                <w:sz w:val="19"/>
              </w:rPr>
              <w:t>Docker, Kubernetes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60" w:type="dxa"/>
              <w:right w:w="160" w:type="dxa"/>
            </w:tcMar>
            <w:shd w:fill="FFFFFF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5B60"/>
                <w:sz w:val="19"/>
              </w:rPr>
              <w:t>Operate</w:t>
            </w:r>
          </w:p>
        </w:tc>
        <w:tc>
          <w:tcPr>
            <w:tcW w:type="dxa" w:w="4752"/>
            <w:tcMar>
              <w:top w:w="110" w:type="dxa"/>
              <w:bottom w:w="110" w:type="dxa"/>
              <w:left w:w="160" w:type="dxa"/>
              <w:right w:w="160" w:type="dxa"/>
            </w:tcMar>
            <w:shd w:fill="FFFFFF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63238"/>
                <w:sz w:val="19"/>
              </w:rPr>
              <w:t>Infrastructure as Code (IaC) and system configuration.</w:t>
            </w:r>
          </w:p>
        </w:tc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  <w:shd w:fill="FFFFFF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00838F"/>
                <w:sz w:val="19"/>
              </w:rPr>
              <w:t>Terraform, Ansible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bottom w:w="110" w:type="dxa"/>
              <w:left w:w="160" w:type="dxa"/>
              <w:right w:w="160" w:type="dxa"/>
            </w:tcMar>
            <w:shd w:fill="F4FBFB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05B60"/>
                <w:sz w:val="19"/>
              </w:rPr>
              <w:t>Monitor</w:t>
            </w:r>
          </w:p>
        </w:tc>
        <w:tc>
          <w:tcPr>
            <w:tcW w:type="dxa" w:w="4752"/>
            <w:tcMar>
              <w:top w:w="110" w:type="dxa"/>
              <w:bottom w:w="110" w:type="dxa"/>
              <w:left w:w="160" w:type="dxa"/>
              <w:right w:w="160" w:type="dxa"/>
            </w:tcMar>
            <w:shd w:fill="F4FBFB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63238"/>
                <w:sz w:val="19"/>
              </w:rPr>
              <w:t>Real-time logging, metrics tracking, and diagnostic telemetry.</w:t>
            </w:r>
          </w:p>
        </w:tc>
        <w:tc>
          <w:tcPr>
            <w:tcW w:type="dxa" w:w="2880"/>
            <w:tcMar>
              <w:top w:w="110" w:type="dxa"/>
              <w:bottom w:w="110" w:type="dxa"/>
              <w:left w:w="160" w:type="dxa"/>
              <w:right w:w="160" w:type="dxa"/>
            </w:tcMar>
            <w:shd w:fill="F4FBFB"/>
            <w:tcBorders>
              <w:top w:val="none"/>
              <w:bottom w:val="single" w:sz="4" w:color="78909C"/>
              <w:left w:val="none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i/>
                <w:color w:val="00838F"/>
                <w:sz w:val="19"/>
              </w:rPr>
              <w:t>Grafana, Prometheus, ELK Stack</w:t>
            </w:r>
          </w:p>
        </w:tc>
      </w:tr>
    </w:tbl>
    <w:p>
      <w:pPr>
        <w:spacing w:before="240" w:after="0"/>
      </w:pPr>
    </w:p>
    <w:p>
      <w:pPr>
        <w:keepNext/>
        <w:spacing w:before="320" w:after="120"/>
        <w:pBdr>
          <w:bottom w:val="single" w:sz="12" w:space="4" w:color="005B60"/>
        </w:pBdr>
      </w:pPr>
      <w:r>
        <w:rPr>
          <w:rFonts w:ascii="Segoe UI" w:hAnsi="Segoe UI"/>
          <w:b/>
          <w:color w:val="005B60"/>
          <w:sz w:val="32"/>
        </w:rPr>
        <w:t>4. Summary &amp; Best Practices</w:t>
      </w:r>
    </w:p>
    <w:p>
      <w:pPr>
        <w:spacing w:before="80" w:after="80"/>
      </w:pPr>
      <w:r>
        <w:rPr>
          <w:rFonts w:ascii="Segoe UI" w:hAnsi="Segoe UI"/>
        </w:rPr>
        <w:t>To implement these principles effectively in subsequent tasks, consider the following actionable steps: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005B60"/>
        </w:rPr>
        <w:t xml:space="preserve">Maintain Continuous Feedback: </w:t>
      </w:r>
      <w:r>
        <w:rPr>
          <w:rFonts w:ascii="Segoe UI" w:hAnsi="Segoe UI"/>
        </w:rPr>
        <w:t>Establish tight testing loops during the early integration phases to prevent production drift.</w:t>
      </w:r>
    </w:p>
    <w:p>
      <w:pPr>
        <w:pStyle w:val="ListBullet"/>
        <w:spacing w:before="40" w:after="60"/>
      </w:pPr>
      <w:r>
        <w:rPr>
          <w:rFonts w:ascii="Segoe UI" w:hAnsi="Segoe UI"/>
          <w:b/>
          <w:color w:val="005B60"/>
        </w:rPr>
        <w:t xml:space="preserve">Iterate Gradually: </w:t>
      </w:r>
      <w:r>
        <w:rPr>
          <w:rFonts w:ascii="Segoe UI" w:hAnsi="Segoe UI"/>
        </w:rPr>
        <w:t>Focus on stabilizing Continuous Integration pipelines before implementing fully unattended Continuous Deployment.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