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89221">
      <w:pPr>
        <w:rPr>
          <w:b/>
          <w:bCs/>
          <w:sz w:val="28"/>
          <w:szCs w:val="36"/>
        </w:rPr>
      </w:pPr>
      <w:r>
        <w:rPr>
          <w:rFonts w:hint="eastAsia"/>
          <w:b/>
          <w:bCs/>
          <w:sz w:val="28"/>
          <w:szCs w:val="36"/>
        </w:rPr>
        <w:t>课题来源：</w:t>
      </w:r>
      <w:r>
        <w:rPr>
          <w:b/>
          <w:bCs/>
          <w:sz w:val="28"/>
          <w:szCs w:val="36"/>
        </w:rPr>
        <w:t xml:space="preserve"> </w:t>
      </w:r>
    </w:p>
    <w:p w14:paraId="45F7EB8C">
      <w:pPr>
        <w:jc w:val="center"/>
        <w:rPr>
          <w:rFonts w:hint="default" w:eastAsiaTheme="minorEastAsia"/>
          <w:b/>
          <w:bCs/>
          <w:sz w:val="28"/>
          <w:szCs w:val="36"/>
          <w:lang w:val="en-US" w:eastAsia="zh-CN"/>
        </w:rPr>
      </w:pPr>
      <w:r>
        <w:rPr>
          <w:rFonts w:hint="eastAsia"/>
          <w:b/>
          <w:bCs/>
          <w:sz w:val="28"/>
          <w:szCs w:val="36"/>
          <w:lang w:val="en-US" w:eastAsia="zh-CN"/>
        </w:rPr>
        <w:t>基于单目先验的泛化立体匹配方法研究</w:t>
      </w:r>
    </w:p>
    <w:p w14:paraId="2097F1FB">
      <w:pPr>
        <w:ind w:firstLine="420"/>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立体匹配（St</w:t>
      </w:r>
      <w:r>
        <w:rPr>
          <w:rFonts w:hint="default" w:ascii="宋体" w:hAnsi="宋体" w:eastAsia="宋体" w:cs="宋体"/>
          <w:color w:val="333333"/>
          <w:szCs w:val="21"/>
          <w:shd w:val="clear" w:color="auto" w:fill="FFFFFF"/>
          <w:lang w:val="en-US" w:eastAsia="zh-CN"/>
        </w:rPr>
        <w:t>ereo Matching</w:t>
      </w:r>
      <w:r>
        <w:rPr>
          <w:rFonts w:hint="eastAsia" w:ascii="宋体" w:hAnsi="宋体" w:eastAsia="宋体" w:cs="宋体"/>
          <w:color w:val="333333"/>
          <w:szCs w:val="21"/>
          <w:shd w:val="clear" w:color="auto" w:fill="FFFFFF"/>
          <w:lang w:val="en-US" w:eastAsia="zh-CN"/>
        </w:rPr>
        <w:t>）旨在从一对校正图像中估计稠密像素级视差，从而为3D场景理解提供关键的深度信息。该技术在自动驾驶、机器人导航和虚拟现实等应用领域发挥着至关重要的作用。基于深度学习的方法在标准基准测试中已展现出优异的性能。这些方法大致可分为基于代价聚合的方法（cost filtering-based）和基于迭代优化的方法（iterative optimization-based）。基于代价聚合的方法利用CNN特征构建3D/4D代价体，随后采用一系列2D/3D卷积进行正则化与聚合，以最小化误匹配；基于迭代优化的方法则首先构建代价体，随后索引局部代价以提取运动特征，进而引导循环单元对视差图进行迭代优化。尽管这些方法在针对特定域微调的设定下于公共基准测试中取得了成功，但它们难以有效捕获非局部信息，从而难以扩展至更大规模的数据集。其他一些方法探索了利用Transformer架构进行一元特征提取，但由于缺乏代价体和迭代优化所特有的专用结构，往往难以实现高精度的匹配结果。</w:t>
      </w:r>
    </w:p>
    <w:p w14:paraId="39CC198A">
      <w:pPr>
        <w:ind w:firstLine="420"/>
        <w:rPr>
          <w:rFonts w:hint="default"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迄今为止，上述局限性阻碍了具备良好跨域泛化能力的立体匹配网络的发展。尽管已有部分前沿工作探索了跨域泛化问题，但受限于网络架构设计的不足、训练数据的匮乏或两者兼而有之，这些方法所取得的性能仍无法与在目标域上进行微调的结果相媲美。此类网络通常仅在Scene Flow数据集上进行实验，而该数据集规模较小，仅包含4万对带标注的训练图像。因此，与在其他视觉任务中涌现出的具有强泛化能力的视觉基础模型截然不同，现有的立体匹配方法尚无法作为一种通用的现成解决方案。</w:t>
      </w:r>
    </w:p>
    <w:p w14:paraId="6A87660C">
      <w:pPr>
        <w:keepNext w:val="0"/>
        <w:keepLines w:val="0"/>
        <w:widowControl/>
        <w:suppressLineNumbers w:val="0"/>
        <w:ind w:firstLine="420" w:firstLineChars="0"/>
        <w:jc w:val="left"/>
        <w:rPr>
          <w:rFonts w:hint="default"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与立体匹配不同的是，单目深度估计直接从单幅图像提取深度信息，因此不存在误匹配的问题。而且单目深度能为立体匹配提供互补的结构信息，因其具有良好的预测一致性和细节，但预训练模型输出的通常是存在尺度和位移模糊性的相对深度，不具有尺度信息。近期部分方法利用单目深度基础模型提取深度感知特征来构建或者优化鲁棒的代价体，并获取准确的初始视差以供迭代使用；部分方法进一步引入单目深度先验来引导迭代单元GRU。这些方法探索了利用单目模型提取强大的先验信息优化双目立体匹配的路径。</w:t>
      </w:r>
    </w:p>
    <w:p w14:paraId="30D57B0D">
      <w:pPr>
        <w:ind w:firstLine="420"/>
        <w:rPr>
          <w:rFonts w:hint="default"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本课题旨在针对细窄物体表面等高频区域的弱一致性和细节丢失问题，优化模型的泛化能力。针对这类区域高频、缺乏语义一致性等特点，利用现阶段单目模型强大的单目深度先验，设计了一套双目代价体优化以及单双目视差融合的新方法，以获得更加良好的迭代起点，从而提升模型的整体泛化性能。</w:t>
      </w:r>
    </w:p>
    <w:p w14:paraId="08A6CE77">
      <w:pPr>
        <w:rPr>
          <w:rFonts w:hint="eastAsia"/>
          <w:b/>
          <w:bCs/>
          <w:sz w:val="28"/>
          <w:szCs w:val="36"/>
        </w:rPr>
      </w:pPr>
      <w:r>
        <w:rPr>
          <w:rFonts w:hint="eastAsia"/>
          <w:b/>
          <w:bCs/>
          <w:sz w:val="28"/>
          <w:szCs w:val="36"/>
        </w:rPr>
        <w:t>目的要求：</w:t>
      </w:r>
    </w:p>
    <w:p w14:paraId="21686E74">
      <w:pPr>
        <w:numPr>
          <w:ilvl w:val="0"/>
          <w:numId w:val="1"/>
        </w:numPr>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培养学生综合运用基础理论、专业知识及相关技能分析和解决实际问题的能力。</w:t>
      </w:r>
    </w:p>
    <w:p w14:paraId="1DD19B8B">
      <w:pPr>
        <w:numPr>
          <w:ilvl w:val="0"/>
          <w:numId w:val="1"/>
        </w:numPr>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学生应依据课题任务开展资料调研、收集与整理工作，掌握实验与测试的基本方法，提高分析和解决实际问题的能力。</w:t>
      </w:r>
    </w:p>
    <w:p w14:paraId="3445BF5E">
      <w:pPr>
        <w:numPr>
          <w:ilvl w:val="0"/>
          <w:numId w:val="1"/>
        </w:numPr>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要求学生在指导教师的指导下独立完成毕业设计，并撰写符合规范要求的技术文档与学术论文。</w:t>
      </w:r>
    </w:p>
    <w:p w14:paraId="5BC0E73D">
      <w:pPr>
        <w:rPr>
          <w:rFonts w:hint="eastAsia"/>
        </w:rPr>
      </w:pPr>
      <w:r>
        <w:rPr>
          <w:rFonts w:hint="eastAsia"/>
          <w:b/>
          <w:bCs/>
          <w:sz w:val="28"/>
          <w:szCs w:val="36"/>
        </w:rPr>
        <w:t>主要内容：</w:t>
      </w:r>
    </w:p>
    <w:p w14:paraId="2F8C053E">
      <w:pPr>
        <w:ind w:firstLine="420"/>
        <w:rPr>
          <w:rFonts w:hint="default"/>
          <w:lang w:val="en-US" w:eastAsia="zh-CN"/>
        </w:rPr>
      </w:pPr>
      <w:r>
        <w:rPr>
          <w:rFonts w:hint="default" w:ascii="宋体" w:hAnsi="宋体" w:eastAsia="宋体" w:cs="宋体"/>
          <w:color w:val="333333"/>
          <w:szCs w:val="21"/>
          <w:shd w:val="clear" w:color="auto" w:fill="FFFFFF"/>
          <w:lang w:val="en-US" w:eastAsia="zh-CN"/>
        </w:rPr>
        <w:t>本课题旨在构建泛化性能更优的双目立体匹配模型，基于当前主流的迭代式立体匹配模型架构，引入高性能单目深度估计模型所生成的单目深度先验信息，从而攻克传统立体匹配模型在病态区域（如弱纹理、遮挡区域）的短板。具体而言：首先，基于校准后的双目图像对提取的特征，构建拼接代价体与组相关代价体，使所生成的代价体同时具备精准的匹配相关性与丰富的语义表征能力；其次，采用三维卷积网络对代价体进行特征聚合，并引入单目逆视差信息沿代价体视差维度对其视差概率分布进行优化，从而提升初始视差回归结果的可靠性；同时，设计高效的单目视差对齐策略与单双目视差融合机制，为后续模型迭代过程提供优质的初始迭代起点。</w:t>
      </w:r>
    </w:p>
    <w:p w14:paraId="56273749">
      <w:pPr>
        <w:rPr>
          <w:rFonts w:hint="default" w:ascii="宋体" w:hAnsi="宋体" w:eastAsia="宋体" w:cs="宋体"/>
          <w:color w:val="333333"/>
          <w:szCs w:val="21"/>
          <w:shd w:val="clear" w:color="auto" w:fill="FFFFFF"/>
          <w:lang w:val="en-US" w:eastAsia="zh-CN"/>
        </w:rPr>
      </w:pPr>
      <w:r>
        <w:rPr>
          <w:rFonts w:hint="eastAsia"/>
          <w:b/>
          <w:bCs/>
          <w:sz w:val="28"/>
          <w:szCs w:val="36"/>
        </w:rPr>
        <w:t>预期目标：</w:t>
      </w:r>
    </w:p>
    <w:p w14:paraId="23A381AF">
      <w:pPr>
        <w:numPr>
          <w:ilvl w:val="0"/>
          <w:numId w:val="2"/>
        </w:numPr>
        <w:rPr>
          <w:rFonts w:hint="default" w:ascii="宋体" w:hAnsi="宋体" w:eastAsia="宋体" w:cs="宋体"/>
          <w:color w:val="333333"/>
          <w:szCs w:val="21"/>
          <w:shd w:val="clear" w:color="auto" w:fill="FFFFFF"/>
          <w:lang w:val="en-US" w:eastAsia="zh-CN"/>
        </w:rPr>
      </w:pPr>
      <w:r>
        <w:rPr>
          <w:rFonts w:hint="default" w:ascii="宋体" w:hAnsi="宋体" w:eastAsia="宋体" w:cs="宋体"/>
          <w:color w:val="333333"/>
          <w:szCs w:val="21"/>
          <w:shd w:val="clear" w:color="auto" w:fill="FFFFFF"/>
          <w:lang w:val="en-US" w:eastAsia="zh-CN"/>
        </w:rPr>
        <w:t>模型构建目标：设计并实现泛化性更强</w:t>
      </w:r>
      <w:bookmarkStart w:id="0" w:name="_GoBack"/>
      <w:bookmarkEnd w:id="0"/>
      <w:r>
        <w:rPr>
          <w:rFonts w:hint="default" w:ascii="宋体" w:hAnsi="宋体" w:eastAsia="宋体" w:cs="宋体"/>
          <w:color w:val="333333"/>
          <w:szCs w:val="21"/>
          <w:shd w:val="clear" w:color="auto" w:fill="FFFFFF"/>
          <w:lang w:val="en-US" w:eastAsia="zh-CN"/>
        </w:rPr>
        <w:t>的双目立体匹配模型，完成拼接代价体与组相关代价体的融合设计，搭建高效单目视差对齐及单双目视差融合机制，形成可解决病态区域匹配缺陷的完整模型架构。</w:t>
      </w:r>
    </w:p>
    <w:p w14:paraId="2D16EE77">
      <w:pPr>
        <w:numPr>
          <w:numId w:val="0"/>
        </w:numPr>
        <w:rPr>
          <w:rFonts w:hint="default" w:ascii="宋体" w:hAnsi="宋体" w:eastAsia="宋体" w:cs="宋体"/>
          <w:color w:val="333333"/>
          <w:szCs w:val="21"/>
          <w:shd w:val="clear" w:color="auto" w:fill="FFFFFF"/>
          <w:lang w:val="en-US" w:eastAsia="zh-CN"/>
        </w:rPr>
      </w:pPr>
      <w:r>
        <w:rPr>
          <w:rFonts w:hint="default" w:ascii="宋体" w:hAnsi="宋体" w:eastAsia="宋体" w:cs="宋体"/>
          <w:color w:val="333333"/>
          <w:szCs w:val="21"/>
          <w:shd w:val="clear" w:color="auto" w:fill="FFFFFF"/>
          <w:lang w:val="en-US" w:eastAsia="zh-CN"/>
        </w:rPr>
        <w:t>2.</w:t>
      </w:r>
      <w:r>
        <w:rPr>
          <w:rFonts w:hint="eastAsia" w:ascii="宋体" w:hAnsi="宋体" w:eastAsia="宋体" w:cs="宋体"/>
          <w:color w:val="333333"/>
          <w:szCs w:val="21"/>
          <w:shd w:val="clear" w:color="auto" w:fill="FFFFFF"/>
          <w:lang w:val="en-US" w:eastAsia="zh-CN"/>
        </w:rPr>
        <w:t xml:space="preserve"> </w:t>
      </w:r>
      <w:r>
        <w:rPr>
          <w:rFonts w:hint="default" w:ascii="宋体" w:hAnsi="宋体" w:eastAsia="宋体" w:cs="宋体"/>
          <w:color w:val="333333"/>
          <w:szCs w:val="21"/>
          <w:shd w:val="clear" w:color="auto" w:fill="FFFFFF"/>
          <w:lang w:val="en-US" w:eastAsia="zh-CN"/>
        </w:rPr>
        <w:t>泛化性能验证目标：通过多场景、多维度实验，验证模型在弱纹理、遮挡、光照突变等病态区域的稳定匹配能力，以及跨数据集、跨场景的泛化性能，突破传统模型的场景适配局限。</w:t>
      </w:r>
    </w:p>
    <w:p w14:paraId="29B7BC92">
      <w:pPr>
        <w:numPr>
          <w:numId w:val="0"/>
        </w:numPr>
        <w:rPr>
          <w:rFonts w:hint="default" w:ascii="宋体" w:hAnsi="宋体" w:eastAsia="宋体" w:cs="宋体"/>
          <w:color w:val="333333"/>
          <w:szCs w:val="21"/>
          <w:shd w:val="clear" w:color="auto" w:fill="FFFFFF"/>
          <w:lang w:val="en-US" w:eastAsia="zh-CN"/>
        </w:rPr>
      </w:pPr>
      <w:r>
        <w:rPr>
          <w:rFonts w:hint="default" w:ascii="宋体" w:hAnsi="宋体" w:eastAsia="宋体" w:cs="宋体"/>
          <w:color w:val="333333"/>
          <w:szCs w:val="21"/>
          <w:shd w:val="clear" w:color="auto" w:fill="FFFFFF"/>
          <w:lang w:val="en-US" w:eastAsia="zh-CN"/>
        </w:rPr>
        <w:t>3.</w:t>
      </w:r>
      <w:r>
        <w:rPr>
          <w:rFonts w:hint="eastAsia" w:ascii="宋体" w:hAnsi="宋体" w:eastAsia="宋体" w:cs="宋体"/>
          <w:color w:val="333333"/>
          <w:szCs w:val="21"/>
          <w:shd w:val="clear" w:color="auto" w:fill="FFFFFF"/>
          <w:lang w:val="en-US" w:eastAsia="zh-CN"/>
        </w:rPr>
        <w:t xml:space="preserve"> </w:t>
      </w:r>
      <w:r>
        <w:rPr>
          <w:rFonts w:hint="default" w:ascii="宋体" w:hAnsi="宋体" w:eastAsia="宋体" w:cs="宋体"/>
          <w:color w:val="333333"/>
          <w:szCs w:val="21"/>
          <w:shd w:val="clear" w:color="auto" w:fill="FFFFFF"/>
          <w:lang w:val="en-US" w:eastAsia="zh-CN"/>
        </w:rPr>
        <w:t>性能对标目标：在 SceneFlow、KITTI 等主流数据集上，与主流迭代式立体匹配方法开展性能比对，实现视差估计精度、匹配鲁棒性等核心指标提升，或在保精度前提下达成更稳定的泛化表现。</w:t>
      </w:r>
    </w:p>
    <w:p w14:paraId="4E2D9E61">
      <w:pPr>
        <w:widowControl/>
        <w:jc w:val="left"/>
        <w:rPr>
          <w:b/>
          <w:bCs/>
          <w:sz w:val="28"/>
          <w:szCs w:val="36"/>
        </w:rPr>
      </w:pPr>
      <w:r>
        <w:rPr>
          <w:rFonts w:hint="eastAsia"/>
          <w:b/>
          <w:bCs/>
          <w:sz w:val="28"/>
          <w:szCs w:val="36"/>
        </w:rPr>
        <w:t>参考资料：</w:t>
      </w:r>
    </w:p>
    <w:p w14:paraId="300ED568">
      <w:pPr>
        <w:numPr>
          <w:ilvl w:val="0"/>
          <w:numId w:val="3"/>
        </w:numPr>
      </w:pPr>
      <w:r>
        <w:drawing>
          <wp:inline distT="0" distB="0" distL="114300" distR="114300">
            <wp:extent cx="635" cy="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rPr>
          <w:lang w:val="en-US" w:eastAsia="zh-CN"/>
        </w:rPr>
        <w:t>Wen, Bowen, Matthew Trepte, Joseph Aribido, Jan Kautz, Orazio Gallo and Stanley T. Birchfield. “FoundationStereo: Zero-Shot Stereo Matching.”</w:t>
      </w:r>
      <w:r>
        <w:rPr>
          <w:rFonts w:hint="default"/>
          <w:lang w:val="en-US" w:eastAsia="zh-CN"/>
        </w:rPr>
        <w:t> 2025 IEEE/CVF Conference on Computer Vision and Pattern Recognition (CVPR) (2025): 5249-5260.</w:t>
      </w:r>
    </w:p>
    <w:p w14:paraId="2E45FDF8">
      <w:pPr>
        <w:numPr>
          <w:ilvl w:val="0"/>
          <w:numId w:val="3"/>
        </w:numPr>
      </w:pPr>
      <w:r>
        <w:rPr>
          <w:lang w:val="en-US" w:eastAsia="zh-CN"/>
        </w:rPr>
        <w:t>Xu, Gangwei, Xianqi Wang, Xiao-Hua Ding and Xin Yang. “Iterative Geometry Encoding Volume for Stereo Matching.”</w:t>
      </w:r>
      <w:r>
        <w:rPr>
          <w:rFonts w:hint="default"/>
          <w:lang w:val="en-US" w:eastAsia="zh-CN"/>
        </w:rPr>
        <w:t> 2023 IEEE/CVF Conference on Computer Vision and Pattern Recognition (CVPR) (2023): 21919-21928.</w:t>
      </w:r>
    </w:p>
    <w:p w14:paraId="34E53FFB">
      <w:pPr>
        <w:numPr>
          <w:ilvl w:val="0"/>
          <w:numId w:val="3"/>
        </w:numPr>
        <w:rPr>
          <w:lang w:val="en-US" w:eastAsia="zh-CN"/>
        </w:rPr>
      </w:pPr>
      <w:r>
        <w:rPr>
          <w:lang w:val="en-US" w:eastAsia="zh-CN"/>
        </w:rPr>
        <w:t>Cheng, Junda, Wenjing Liao, Zhipeng Cai, Longliang Liu, Gangwei Xu, Xianqi Wang, Yuzhou Wang, Zikang Yuan, Yong Deng, Jinliang Zang, Yangyang Shi, Jinhui Tang and Xin Yang. “MonSter++: Unified Stereo Matching, Multi-view Stereo, and Real-time Stereo with Monodepth Priors.” (2025).</w:t>
      </w:r>
    </w:p>
    <w:p w14:paraId="226116A4">
      <w:pPr>
        <w:numPr>
          <w:ilvl w:val="0"/>
          <w:numId w:val="3"/>
        </w:numPr>
        <w:rPr>
          <w:lang w:val="en-US" w:eastAsia="zh-CN"/>
        </w:rPr>
      </w:pPr>
      <w:r>
        <w:rPr>
          <w:lang w:val="en-US" w:eastAsia="zh-CN"/>
        </w:rPr>
        <w:t>Chang, Jia-Ren and Yong-Sheng Chen. “Pyramid Stereo Matching Network.”</w:t>
      </w:r>
      <w:r>
        <w:rPr>
          <w:rFonts w:hint="default"/>
          <w:lang w:val="en-US" w:eastAsia="zh-CN"/>
        </w:rPr>
        <w:t> 2018 IEEE/CVF Conference on Computer Vision and Pattern Recognition (2018): 5410-5418.</w:t>
      </w:r>
    </w:p>
    <w:p w14:paraId="10795798">
      <w:pPr>
        <w:numPr>
          <w:ilvl w:val="0"/>
          <w:numId w:val="3"/>
        </w:numPr>
        <w:rPr>
          <w:lang w:val="en-US" w:eastAsia="zh-CN"/>
        </w:rPr>
      </w:pPr>
      <w:r>
        <w:rPr>
          <w:lang w:val="en-US" w:eastAsia="zh-CN"/>
        </w:rPr>
        <w:t>Lipson, Lahav, Zachary Teed and Jia Deng. “RAFT-Stereo: Multilevel Recurrent Field Transforms for Stereo Matching.”</w:t>
      </w:r>
      <w:r>
        <w:rPr>
          <w:rFonts w:hint="default"/>
          <w:lang w:val="en-US" w:eastAsia="zh-CN"/>
        </w:rPr>
        <w:t> 2021 International Conference on 3D Vision (3DV) (2021): 218-227.</w:t>
      </w:r>
    </w:p>
    <w:p w14:paraId="2F25B55D">
      <w:pPr>
        <w:numPr>
          <w:ilvl w:val="0"/>
          <w:numId w:val="3"/>
        </w:numPr>
        <w:rPr>
          <w:lang w:val="en-US" w:eastAsia="zh-CN"/>
        </w:rPr>
      </w:pPr>
      <w:r>
        <w:rPr>
          <w:lang w:val="en-US" w:eastAsia="zh-CN"/>
        </w:rPr>
        <w:t>Bartolomei, Luca, Fabio Tosi, Matteo Poggi and Stefano Mattoccia. “Stereo Anywhere: Robust Zero-Shot Deep Stereo Matching Even Where Either Stereo or Mono Fail.”</w:t>
      </w:r>
      <w:r>
        <w:rPr>
          <w:rFonts w:hint="default"/>
          <w:lang w:val="en-US" w:eastAsia="zh-CN"/>
        </w:rPr>
        <w:t> 2025 IEEE/CVF Conference on Computer Vision and Pattern Recognition (CVPR) (2024): 1013-1027.</w:t>
      </w:r>
    </w:p>
    <w:p w14:paraId="10940241">
      <w:pPr>
        <w:numPr>
          <w:ilvl w:val="0"/>
          <w:numId w:val="3"/>
        </w:numPr>
        <w:rPr>
          <w:lang w:val="en-US" w:eastAsia="zh-CN"/>
        </w:rPr>
      </w:pPr>
      <w:r>
        <w:rPr>
          <w:lang w:val="en-US" w:eastAsia="zh-CN"/>
        </w:rPr>
        <w:t>Wang, Yihan and Jia Deng. “WAFT: Warping-Alone Field Transforms for Optical Flow.”</w:t>
      </w:r>
      <w:r>
        <w:rPr>
          <w:rFonts w:hint="default"/>
          <w:lang w:val="en-US" w:eastAsia="zh-CN"/>
        </w:rPr>
        <w:t> ArXiv abs/2506.21526 (2025): n. pag.</w:t>
      </w:r>
    </w:p>
    <w:p w14:paraId="2114EE74">
      <w:pPr>
        <w:numPr>
          <w:ilvl w:val="0"/>
          <w:numId w:val="3"/>
        </w:numPr>
        <w:rPr>
          <w:lang w:val="en-US" w:eastAsia="zh-CN"/>
        </w:rPr>
      </w:pPr>
      <w:r>
        <w:rPr>
          <w:lang w:val="en-US" w:eastAsia="zh-CN"/>
        </w:rPr>
        <w:t>Guan, Tongfan, Jiaxin Guo, Chen Wang and Yunchun Liu. “BridgeDepth: Bridging Monocular and Stereo Reasoning with Latent Alignment.”</w:t>
      </w:r>
      <w:r>
        <w:rPr>
          <w:rFonts w:hint="default"/>
          <w:lang w:val="en-US" w:eastAsia="zh-CN"/>
        </w:rPr>
        <w:t> ArXiv abs/2508.04611 (2025): n. pag.</w:t>
      </w:r>
    </w:p>
    <w:p w14:paraId="776AAE86">
      <w:pPr>
        <w:numPr>
          <w:ilvl w:val="0"/>
          <w:numId w:val="3"/>
        </w:numPr>
        <w:rPr>
          <w:lang w:val="en-US" w:eastAsia="zh-CN"/>
        </w:rPr>
      </w:pPr>
      <w:r>
        <w:rPr>
          <w:lang w:val="en-US" w:eastAsia="zh-CN"/>
        </w:rPr>
        <w:t>Yao, Chengtang, Lidong Yu, Zhidan Liu, Jiaxi Zeng, Yuwei Wu and Yunde Jia. “Diving into the Fusion of Monocular Priors for Generalized Stereo Matching.”</w:t>
      </w:r>
      <w:r>
        <w:rPr>
          <w:rFonts w:hint="default"/>
          <w:lang w:val="en-US" w:eastAsia="zh-CN"/>
        </w:rPr>
        <w:t> ArXiv abs/2505.14414 (2025): n. pag.</w:t>
      </w:r>
    </w:p>
    <w:p w14:paraId="74959BE8">
      <w:pPr>
        <w:numPr>
          <w:ilvl w:val="0"/>
          <w:numId w:val="3"/>
        </w:numPr>
        <w:rPr>
          <w:lang w:val="en-US" w:eastAsia="zh-CN"/>
        </w:rPr>
      </w:pPr>
      <w:r>
        <w:rPr>
          <w:lang w:val="en-US" w:eastAsia="zh-CN"/>
        </w:rPr>
        <w:t>Liu, Zihua, Yizhou Li and Masatoshi Okutomi. “Global Occlusion-Aware Transformer for Robust Stereo Matching.”</w:t>
      </w:r>
      <w:r>
        <w:rPr>
          <w:rFonts w:hint="default"/>
          <w:lang w:val="en-US" w:eastAsia="zh-CN"/>
        </w:rPr>
        <w:t> 2024 IEEE/CVF Winter Conference on Applications of Computer Vision (WACV) (2023): 3523-3532.</w:t>
      </w:r>
    </w:p>
    <w:p w14:paraId="0056C081">
      <w:pPr>
        <w:numPr>
          <w:ilvl w:val="0"/>
          <w:numId w:val="3"/>
        </w:numPr>
        <w:rPr>
          <w:lang w:val="en-US" w:eastAsia="zh-CN"/>
        </w:rPr>
      </w:pPr>
      <w:r>
        <w:rPr>
          <w:lang w:val="en-US" w:eastAsia="zh-CN"/>
        </w:rPr>
        <w:t>Li, Jiahao, Xinhong Chen, Zhengmin Jiang, Qian Zhou, Yung-Hui Li and Jianping Wang. “Global Regulation and Excitation via Attention Tuning for Stereo Matching.”</w:t>
      </w:r>
      <w:r>
        <w:rPr>
          <w:rFonts w:hint="default"/>
          <w:lang w:val="en-US" w:eastAsia="zh-CN"/>
        </w:rPr>
        <w:t> ArXiv abs/2509.15891 (2025): n. pag.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27EDF"/>
    <w:multiLevelType w:val="singleLevel"/>
    <w:tmpl w:val="BF327EDF"/>
    <w:lvl w:ilvl="0" w:tentative="0">
      <w:start w:val="1"/>
      <w:numFmt w:val="decimal"/>
      <w:suff w:val="space"/>
      <w:lvlText w:val="%1."/>
      <w:lvlJc w:val="left"/>
    </w:lvl>
  </w:abstractNum>
  <w:abstractNum w:abstractNumId="1">
    <w:nsid w:val="CB3EEE32"/>
    <w:multiLevelType w:val="singleLevel"/>
    <w:tmpl w:val="CB3EEE32"/>
    <w:lvl w:ilvl="0" w:tentative="0">
      <w:start w:val="1"/>
      <w:numFmt w:val="decimal"/>
      <w:suff w:val="space"/>
      <w:lvlText w:val="%1."/>
      <w:lvlJc w:val="left"/>
    </w:lvl>
  </w:abstractNum>
  <w:abstractNum w:abstractNumId="2">
    <w:nsid w:val="0CEA4549"/>
    <w:multiLevelType w:val="singleLevel"/>
    <w:tmpl w:val="0CEA4549"/>
    <w:lvl w:ilvl="0" w:tentative="0">
      <w:start w:val="1"/>
      <w:numFmt w:val="decimal"/>
      <w:lvlText w:val="%1."/>
      <w:lvlJc w:val="left"/>
      <w:pPr>
        <w:ind w:left="425" w:hanging="425"/>
      </w:pPr>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BE4"/>
    <w:rsid w:val="000D321A"/>
    <w:rsid w:val="001B4956"/>
    <w:rsid w:val="001B513B"/>
    <w:rsid w:val="001C08A6"/>
    <w:rsid w:val="001C249C"/>
    <w:rsid w:val="001F6BE4"/>
    <w:rsid w:val="0024681C"/>
    <w:rsid w:val="003C5579"/>
    <w:rsid w:val="005E10F6"/>
    <w:rsid w:val="005E4864"/>
    <w:rsid w:val="00643AF8"/>
    <w:rsid w:val="00667474"/>
    <w:rsid w:val="00726144"/>
    <w:rsid w:val="007417E6"/>
    <w:rsid w:val="007F4DC5"/>
    <w:rsid w:val="00891A42"/>
    <w:rsid w:val="00A21BBA"/>
    <w:rsid w:val="00AF4E1F"/>
    <w:rsid w:val="00B91F4F"/>
    <w:rsid w:val="00C21B22"/>
    <w:rsid w:val="00D70720"/>
    <w:rsid w:val="00D91293"/>
    <w:rsid w:val="00DB004A"/>
    <w:rsid w:val="00E61ADF"/>
    <w:rsid w:val="00EC6DD6"/>
    <w:rsid w:val="00F16AC3"/>
    <w:rsid w:val="00F50CB4"/>
    <w:rsid w:val="00F57142"/>
    <w:rsid w:val="1DDB0910"/>
    <w:rsid w:val="2BFDB92C"/>
    <w:rsid w:val="3BF56DC3"/>
    <w:rsid w:val="3DEDD7B3"/>
    <w:rsid w:val="47BF3775"/>
    <w:rsid w:val="657CDECD"/>
    <w:rsid w:val="6EFBD793"/>
    <w:rsid w:val="75FFC221"/>
    <w:rsid w:val="77FDD1A2"/>
    <w:rsid w:val="77FFF7AC"/>
    <w:rsid w:val="7F4E8BEC"/>
    <w:rsid w:val="7FEBCC04"/>
    <w:rsid w:val="7FF5C36D"/>
    <w:rsid w:val="7FFA4B62"/>
    <w:rsid w:val="7FFF040E"/>
    <w:rsid w:val="8DB7B8B9"/>
    <w:rsid w:val="9BF61F5F"/>
    <w:rsid w:val="BFB74414"/>
    <w:rsid w:val="C7AF4F47"/>
    <w:rsid w:val="DEF76A1A"/>
    <w:rsid w:val="DF7F54D6"/>
    <w:rsid w:val="F385130D"/>
    <w:rsid w:val="FEEA1434"/>
    <w:rsid w:val="FFE74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Emphasis"/>
    <w:basedOn w:val="6"/>
    <w:qFormat/>
    <w:uiPriority w:val="20"/>
    <w:rPr>
      <w:i/>
      <w:iCs/>
    </w:rPr>
  </w:style>
  <w:style w:type="character" w:styleId="8">
    <w:name w:val="Hyperlink"/>
    <w:basedOn w:val="6"/>
    <w:semiHidden/>
    <w:unhideWhenUsed/>
    <w:uiPriority w:val="99"/>
    <w:rPr>
      <w:color w:val="0000FF"/>
      <w:u w:val="single"/>
    </w:rPr>
  </w:style>
  <w:style w:type="character" w:customStyle="1" w:styleId="9">
    <w:name w:val="页眉 字符"/>
    <w:basedOn w:val="6"/>
    <w:link w:val="3"/>
    <w:uiPriority w:val="99"/>
    <w:rPr>
      <w:sz w:val="18"/>
      <w:szCs w:val="18"/>
    </w:rPr>
  </w:style>
  <w:style w:type="character" w:customStyle="1" w:styleId="10">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399</Words>
  <Characters>2278</Characters>
  <Lines>18</Lines>
  <Paragraphs>5</Paragraphs>
  <TotalTime>90</TotalTime>
  <ScaleCrop>false</ScaleCrop>
  <LinksUpToDate>false</LinksUpToDate>
  <CharactersWithSpaces>2672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2025-11-27T22:47:00Z</dcterms:created>
  <dc:creator>Alina Adela</dc:creator>
  <cp:lastModifiedBy>WPS_1673415498</cp:lastModifiedBy>
  <dcterms:modified xsi:type="dcterms:W3CDTF">2025-12-05T14:14:02Z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1E3636D793F85EA91036316985EE9E3B_42</vt:lpwstr>
  </property>
</Properties>
</file>