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jc w:val="center"/>
        <w:rPr>
          <w:rFonts w:hint="eastAsia"/>
          <w:b/>
          <w:sz w:val="52"/>
          <w:szCs w:val="52"/>
        </w:rPr>
      </w:pPr>
      <w:bookmarkStart w:id="0" w:name="_Toc246399168"/>
      <w:bookmarkStart w:id="1" w:name="_Toc24950"/>
      <w:bookmarkStart w:id="2" w:name="_Toc246399499"/>
      <w:r>
        <w:rPr>
          <w:rFonts w:hint="eastAsia" w:ascii="黑体" w:eastAsia="黑体"/>
          <w:sz w:val="52"/>
          <w:szCs w:val="52"/>
          <w:lang w:val="en-US" w:eastAsia="zh-CN"/>
        </w:rPr>
        <w:t>程序设计3</w:t>
      </w:r>
      <w:r>
        <w:rPr>
          <w:rFonts w:hint="eastAsia" w:ascii="黑体" w:eastAsia="黑体"/>
          <w:sz w:val="52"/>
          <w:szCs w:val="52"/>
        </w:rPr>
        <w:t>（双语）</w:t>
      </w:r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</w:t>
      </w:r>
      <w:bookmarkEnd w:id="0"/>
      <w:bookmarkEnd w:id="1"/>
      <w:bookmarkEnd w:id="2"/>
      <w:bookmarkStart w:id="3" w:name="_Toc246399500"/>
      <w:bookmarkStart w:id="4" w:name="_Toc246399169"/>
      <w:bookmarkStart w:id="5" w:name="_Toc17740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验</w:t>
      </w:r>
      <w:bookmarkEnd w:id="3"/>
      <w:bookmarkEnd w:id="4"/>
      <w:bookmarkEnd w:id="5"/>
      <w:bookmarkStart w:id="6" w:name="_Toc246399170"/>
      <w:bookmarkStart w:id="7" w:name="_Toc246399501"/>
      <w:bookmarkStart w:id="8" w:name="_Toc19531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报</w:t>
      </w:r>
      <w:bookmarkEnd w:id="6"/>
      <w:bookmarkEnd w:id="7"/>
      <w:bookmarkEnd w:id="8"/>
      <w:bookmarkStart w:id="9" w:name="_Toc246399171"/>
      <w:bookmarkStart w:id="10" w:name="_Toc246399502"/>
      <w:bookmarkStart w:id="11" w:name="_Toc24889"/>
    </w:p>
    <w:p>
      <w:pPr>
        <w:spacing w:before="100" w:beforeAutospacing="1" w:after="100" w:afterAutospacing="1" w:line="720" w:lineRule="auto"/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告</w:t>
      </w:r>
      <w:bookmarkEnd w:id="9"/>
      <w:bookmarkEnd w:id="10"/>
      <w:bookmarkEnd w:id="11"/>
    </w:p>
    <w:p/>
    <w:p/>
    <w:p>
      <w:pPr>
        <w:rPr>
          <w:rFonts w:hint="eastAsia"/>
        </w:rPr>
      </w:pPr>
    </w:p>
    <w:p/>
    <w:p/>
    <w:p/>
    <w:p>
      <w:pPr>
        <w:ind w:firstLine="1928" w:firstLineChars="600"/>
        <w:rPr>
          <w:b/>
          <w:sz w:val="32"/>
        </w:rPr>
      </w:pP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  软件学院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 201</w:t>
      </w:r>
      <w:r>
        <w:rPr>
          <w:rFonts w:hint="eastAsia"/>
          <w:b/>
          <w:sz w:val="32"/>
          <w:u w:val="single"/>
          <w:lang w:val="en-US" w:eastAsia="zh-CN"/>
        </w:rPr>
        <w:t>7</w:t>
      </w:r>
      <w:r>
        <w:rPr>
          <w:rFonts w:hint="eastAsia"/>
          <w:b/>
          <w:sz w:val="32"/>
          <w:u w:val="single"/>
        </w:rPr>
        <w:t xml:space="preserve">级 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班    级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>一</w:t>
      </w:r>
      <w:r>
        <w:rPr>
          <w:rFonts w:hint="eastAsia"/>
          <w:b/>
          <w:sz w:val="32"/>
          <w:u w:val="single"/>
        </w:rPr>
        <w:t xml:space="preserve">班   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 301</w:t>
      </w:r>
      <w:r>
        <w:rPr>
          <w:rFonts w:hint="eastAsia"/>
          <w:b/>
          <w:sz w:val="32"/>
          <w:u w:val="single"/>
          <w:lang w:val="en-US" w:eastAsia="zh-CN"/>
        </w:rPr>
        <w:t>7218060</w:t>
      </w:r>
      <w:r>
        <w:rPr>
          <w:rFonts w:hint="eastAsia"/>
          <w:b/>
          <w:sz w:val="32"/>
          <w:u w:val="single"/>
        </w:rPr>
        <w:t xml:space="preserve">    </w:t>
      </w:r>
    </w:p>
    <w:p>
      <w:pPr>
        <w:ind w:firstLine="1928" w:firstLineChars="60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>刘杭学</w:t>
      </w:r>
      <w:r>
        <w:rPr>
          <w:rFonts w:hint="eastAsia"/>
          <w:b/>
          <w:sz w:val="32"/>
          <w:u w:val="single"/>
        </w:rPr>
        <w:t xml:space="preserve">        </w:t>
      </w:r>
    </w:p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sz w:val="32"/>
          <w:highlight w:val="none"/>
        </w:rPr>
        <w:t xml:space="preserve">2019 年 </w:t>
      </w:r>
      <w:r>
        <w:rPr>
          <w:rFonts w:hint="eastAsia"/>
          <w:b/>
          <w:sz w:val="32"/>
          <w:highlight w:val="none"/>
          <w:lang w:val="en-US" w:eastAsia="zh-CN"/>
        </w:rPr>
        <w:t>6</w:t>
      </w:r>
      <w:r>
        <w:rPr>
          <w:rFonts w:hint="eastAsia"/>
          <w:b/>
          <w:sz w:val="32"/>
          <w:highlight w:val="none"/>
        </w:rPr>
        <w:t xml:space="preserve">月 </w:t>
      </w:r>
      <w:r>
        <w:rPr>
          <w:rFonts w:hint="eastAsia"/>
          <w:b/>
          <w:sz w:val="32"/>
          <w:highlight w:val="none"/>
          <w:lang w:val="en-US" w:eastAsia="zh-CN"/>
        </w:rPr>
        <w:t>8</w:t>
      </w:r>
      <w:r>
        <w:rPr>
          <w:rFonts w:hint="eastAsia"/>
          <w:b/>
          <w:sz w:val="32"/>
          <w:highlight w:val="none"/>
        </w:rPr>
        <w:t xml:space="preserve"> 日</w:t>
      </w:r>
      <w:r>
        <w:rPr>
          <w:rFonts w:eastAsia="黑体"/>
          <w:b/>
          <w:bCs/>
          <w:sz w:val="20"/>
        </w:rPr>
        <w:pict>
          <v:shape id="Picture 2" o:spid="_x0000_s1026" o:spt="75" type="#_x0000_t75" style="position:absolute;left:0pt;margin-left:126pt;margin-top:49.55pt;height:44.05pt;width:171pt;mso-wrap-distance-bottom:0pt;mso-wrap-distance-top:0pt;z-index:251658240;mso-width-relative:page;mso-height-relative:page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topAndBottom"/>
          </v:shape>
          <o:OLEObject Type="Embed" ProgID="" ShapeID="Picture 2" DrawAspect="Content" ObjectID="_1468075725" r:id="rId8">
            <o:LockedField>false</o:LockedField>
          </o:OLEObject>
        </w:pict>
      </w:r>
    </w:p>
    <w:p>
      <w:pPr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8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录</w:t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"_Toc509419319"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实验名称</w:t>
      </w:r>
      <w:r>
        <w:tab/>
      </w:r>
      <w:r>
        <w:fldChar w:fldCharType="begin"/>
      </w:r>
      <w:r>
        <w:instrText xml:space="preserve"> PAGEREF _Toc509419319 \h </w:instrText>
      </w:r>
      <w:r>
        <w:fldChar w:fldCharType="separate"/>
      </w:r>
      <w:r>
        <w:t>1</w:t>
      </w:r>
      <w:r>
        <w:fldChar w:fldCharType="end"/>
      </w:r>
      <w:r>
        <w:rPr>
          <w:rStyle w:val="13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"_Toc509419320"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实验目的</w:t>
      </w:r>
      <w:r>
        <w:tab/>
      </w:r>
      <w:r>
        <w:fldChar w:fldCharType="begin"/>
      </w:r>
      <w:r>
        <w:instrText xml:space="preserve"> PAGEREF _Toc509419320 \h </w:instrText>
      </w:r>
      <w:r>
        <w:fldChar w:fldCharType="separate"/>
      </w:r>
      <w:r>
        <w:t>1</w:t>
      </w:r>
      <w:r>
        <w:fldChar w:fldCharType="end"/>
      </w:r>
      <w:r>
        <w:rPr>
          <w:rStyle w:val="13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"_Toc509419321"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实验内容</w:t>
      </w:r>
      <w:r>
        <w:tab/>
      </w:r>
      <w:r>
        <w:fldChar w:fldCharType="begin"/>
      </w:r>
      <w:r>
        <w:instrText xml:space="preserve"> PAGEREF _Toc509419321 \h </w:instrText>
      </w:r>
      <w:r>
        <w:fldChar w:fldCharType="separate"/>
      </w:r>
      <w:r>
        <w:t>1</w:t>
      </w:r>
      <w:r>
        <w:fldChar w:fldCharType="end"/>
      </w:r>
      <w:r>
        <w:rPr>
          <w:rStyle w:val="13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"_Toc509419322"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实验要求</w:t>
      </w:r>
      <w:r>
        <w:tab/>
      </w:r>
      <w:r>
        <w:fldChar w:fldCharType="begin"/>
      </w:r>
      <w:r>
        <w:instrText xml:space="preserve"> PAGEREF _Toc509419322 \h </w:instrText>
      </w:r>
      <w:r>
        <w:fldChar w:fldCharType="separate"/>
      </w:r>
      <w:r>
        <w:t>4</w:t>
      </w:r>
      <w:r>
        <w:fldChar w:fldCharType="end"/>
      </w:r>
      <w:r>
        <w:rPr>
          <w:rStyle w:val="13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"_Toc509419323"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实验分析</w:t>
      </w:r>
      <w:r>
        <w:tab/>
      </w:r>
      <w:r>
        <w:fldChar w:fldCharType="begin"/>
      </w:r>
      <w:r>
        <w:instrText xml:space="preserve"> PAGEREF _Toc509419323 \h </w:instrText>
      </w:r>
      <w:r>
        <w:fldChar w:fldCharType="separate"/>
      </w:r>
      <w:r>
        <w:t>4</w:t>
      </w:r>
      <w:r>
        <w:fldChar w:fldCharType="end"/>
      </w:r>
      <w:r>
        <w:rPr>
          <w:rStyle w:val="13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"_Toc509419324"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实验结论及心得体会</w:t>
      </w:r>
      <w:r>
        <w:tab/>
      </w:r>
      <w:r>
        <w:fldChar w:fldCharType="begin"/>
      </w:r>
      <w:r>
        <w:instrText xml:space="preserve"> PAGEREF _Toc509419324 \h </w:instrText>
      </w:r>
      <w:r>
        <w:fldChar w:fldCharType="separate"/>
      </w:r>
      <w:r>
        <w:t>5</w:t>
      </w:r>
      <w:r>
        <w:fldChar w:fldCharType="end"/>
      </w:r>
      <w:r>
        <w:rPr>
          <w:rStyle w:val="13"/>
        </w:rP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spacing w:line="400" w:lineRule="exact"/>
        <w:rPr>
          <w:rFonts w:hint="eastAsia"/>
          <w:sz w:val="36"/>
          <w:szCs w:val="36"/>
        </w:rPr>
      </w:pPr>
    </w:p>
    <w:p>
      <w:pPr>
        <w:tabs>
          <w:tab w:val="left" w:pos="1845"/>
        </w:tabs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12" w:name="_Toc509419319"/>
      <w:bookmarkStart w:id="13" w:name="_Toc320732834"/>
      <w:r>
        <w:rPr>
          <w:rFonts w:hint="eastAsia"/>
        </w:rPr>
        <w:t>实验名称</w:t>
      </w:r>
      <w:bookmarkEnd w:id="12"/>
      <w:bookmarkEnd w:id="13"/>
      <w:r>
        <w:rPr>
          <w:rFonts w:hint="eastAsia"/>
          <w:lang w:val="en-US" w:eastAsia="zh-CN"/>
        </w:rPr>
        <w:t xml:space="preserve"> 计算器的实现</w:t>
      </w:r>
    </w:p>
    <w:p>
      <w:pPr>
        <w:pStyle w:val="2"/>
        <w:rPr>
          <w:rFonts w:hint="eastAsia"/>
        </w:rPr>
      </w:pPr>
      <w:bookmarkStart w:id="14" w:name="_Toc509419321"/>
      <w:bookmarkStart w:id="15" w:name="_Toc320732836"/>
      <w:r>
        <w:rPr>
          <w:rFonts w:hint="eastAsia"/>
        </w:rPr>
        <w:t>实验内容</w:t>
      </w:r>
      <w:bookmarkEnd w:id="14"/>
      <w:bookmarkEnd w:id="15"/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编写一个计算器工具，能够实现windows附件中科学型计算器的功能</w:t>
      </w:r>
    </w:p>
    <w:p>
      <w:pPr>
        <w:pStyle w:val="2"/>
        <w:rPr>
          <w:rFonts w:hint="eastAsia"/>
        </w:rPr>
      </w:pPr>
      <w:bookmarkStart w:id="16" w:name="_Toc509419322"/>
      <w:r>
        <w:rPr>
          <w:rFonts w:hint="eastAsia"/>
        </w:rPr>
        <w:t>实验要求</w:t>
      </w:r>
      <w:bookmarkEnd w:id="16"/>
    </w:p>
    <w:p>
      <w:pPr>
        <w:pStyle w:val="15"/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能够掌握线性结构的概念、基本操作、选择合理的结构存储数据，选择适当的工具编写程序，掌握多项式运算算法，编写程序实现题目要求。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7" w:name="_Toc320732837"/>
      <w:bookmarkStart w:id="18" w:name="_Toc509419323"/>
      <w:r>
        <w:rPr>
          <w:rFonts w:hint="eastAsia"/>
        </w:rPr>
        <w:t>实验分析</w:t>
      </w:r>
      <w:bookmarkEnd w:id="17"/>
      <w:bookmarkEnd w:id="18"/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编程语言C++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第一步：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中缀表达式转后缀表达式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自左向右读入中缀表达式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数字时，加入后缀表达式；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运算符：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-若为 ‘(’，入栈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-若为 ‘)’，则依次把栈中的的运算符加入后缀表达式中，直到出现’(’，从栈中删除’(’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-若为除括号外的其他运算符， 当其优先级高于除’('以外的栈顶运算符时，直接入栈。否则从栈顶开始，依次弹出比当前处理的运算符优先级高和优先级相等的运算符，直到一个比它优先级低的或者遇到了一个左括号为止，然后将其自身压入栈中（先出后入）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当扫描的中缀表达式结束时，栈中的的所有运算符出栈；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第二步：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计算后缀表达式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建立一个栈S 。从左到右读表达式，如果读到操作数就将它压入栈S中，如果读到n元运算符(即需要参数个数为n的运算符)则取出由栈顶向下的n项按操作数运算，再将运算的结果代替原栈顶的n项，压入栈S中 。如果后缀表达式未读完，则重复上面过程，最后输出栈顶的数值则为结束。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简言之：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从左到右读表达式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遇到操作数压入栈中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遇到操作符取并弹出栈顶n个元素，（n取决于操作符是n元操作符），计算结果压入栈中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后缀表达式读完，当前栈顶元素及为结果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特殊字符处理：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为了方便处理将特殊转成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&amp;+整数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 convertString(string s)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int location=0;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while((location=s.find("asin"))!=-1)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s.replace(location,4,"&amp;8");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while((location=s.find("acos"))!=-1)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s.replace(location,4,"&amp;9");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while((location=s.find("atan"))!=-1)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s.replace(location,4,"&amp;0");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while((location=s.find("sin"))!=-1)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s.replace(location,3,"&amp;1");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while((location=s.find("cos"))!=-1)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s.replace(location,3,"&amp;2");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while((location=s.find("tan"))!=-1)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s.replace(location,3,"&amp;3");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while((location=s.find("ln"))!=-1)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s.replace(location,2,"&amp;4");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while((location=s.find("lg"))!=-1)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s.replace(location,2,"&amp;5");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while((location=s.find("sqrt"))!=-1)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s.replace(location,4,"&amp;6");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while((location=s.find("!"))!=-1)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s.replace(location,1,"&amp;7");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while((location=s.find("10^2"))!=-1)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s.replace(location,4,"100");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while((location=s.find("10^3"))!=-1)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s.replace(location,4,"1000");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while((location=s.find("10^4"))!=-1)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s.replace(location,4,"10000");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while((location=s.find("10^5"))!=-1)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s.replace(location,4,"100000");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return s;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19" w:name="_Toc320732838"/>
      <w:bookmarkStart w:id="20" w:name="_Toc509419324"/>
      <w:r>
        <w:rPr>
          <w:rFonts w:hint="eastAsia"/>
        </w:rPr>
        <w:t>实验结论</w:t>
      </w:r>
      <w:bookmarkEnd w:id="19"/>
      <w:r>
        <w:rPr>
          <w:rFonts w:hint="eastAsia"/>
        </w:rPr>
        <w:t>及心得体会</w:t>
      </w:r>
      <w:bookmarkEnd w:id="20"/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掌握了线性结构的概念、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 w:bidi="ar-SA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 w:bidi="ar-SA"/>
        </w:rPr>
        <w:t>附录</w:t>
      </w:r>
    </w:p>
    <w:p>
      <w:pPr>
        <w:pStyle w:val="4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运行结果</w:t>
      </w:r>
    </w:p>
    <w:p>
      <w:pPr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加减乘除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638175"/>
            <wp:effectExtent l="0" t="0" r="1333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lang w:val="en-US" w:eastAsia="zh-CN"/>
        </w:rPr>
      </w:pPr>
    </w:p>
    <w:p>
      <w:pPr>
        <w:rPr>
          <w:rFonts w:hint="eastAsia"/>
          <w:b/>
          <w:sz w:val="21"/>
          <w:lang w:val="en-US" w:eastAsia="zh-CN"/>
        </w:rPr>
      </w:pPr>
    </w:p>
    <w:p>
      <w:pPr>
        <w:rPr>
          <w:rFonts w:hint="eastAsia"/>
          <w:b/>
          <w:sz w:val="21"/>
          <w:lang w:val="en-US" w:eastAsia="zh-CN"/>
        </w:rPr>
      </w:pPr>
    </w:p>
    <w:p>
      <w:pPr>
        <w:rPr>
          <w:rFonts w:hint="eastAsia"/>
          <w:b/>
          <w:sz w:val="21"/>
          <w:lang w:val="en-US" w:eastAsia="zh-CN"/>
        </w:rPr>
      </w:pPr>
    </w:p>
    <w:p>
      <w:pPr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取模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14550" cy="657225"/>
            <wp:effectExtent l="0" t="0" r="381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开方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4125" cy="552450"/>
            <wp:effectExtent l="0" t="0" r="571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三角函数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3440" cy="496570"/>
            <wp:effectExtent l="0" t="0" r="1016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反三角函数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7400" cy="1781175"/>
            <wp:effectExtent l="0" t="0" r="0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乘阶与*10^n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1762125"/>
            <wp:effectExtent l="0" t="0" r="9525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log与ln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600075"/>
            <wp:effectExtent l="0" t="0" r="190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21" w:name="_GoBack"/>
      <w:bookmarkEnd w:id="21"/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1</w: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1D3C"/>
    <w:rsid w:val="10783B01"/>
    <w:rsid w:val="14753613"/>
    <w:rsid w:val="1D82139B"/>
    <w:rsid w:val="26C91373"/>
    <w:rsid w:val="2ADC0BED"/>
    <w:rsid w:val="2C1A598C"/>
    <w:rsid w:val="36046898"/>
    <w:rsid w:val="37DF01F1"/>
    <w:rsid w:val="3C091BC2"/>
    <w:rsid w:val="41677BC2"/>
    <w:rsid w:val="46D91C12"/>
    <w:rsid w:val="542851A0"/>
    <w:rsid w:val="5A075540"/>
    <w:rsid w:val="5D404F01"/>
    <w:rsid w:val="619725B0"/>
    <w:rsid w:val="739939C5"/>
    <w:rsid w:val="7D0E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2"/>
    <w:basedOn w:val="1"/>
    <w:next w:val="1"/>
    <w:uiPriority w:val="39"/>
    <w:pPr>
      <w:ind w:left="420" w:leftChars="200"/>
    </w:pPr>
  </w:style>
  <w:style w:type="paragraph" w:styleId="8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character" w:styleId="13">
    <w:name w:val="Hyperlink"/>
    <w:uiPriority w:val="99"/>
    <w:rPr>
      <w:color w:val="0000FF"/>
      <w:u w:val="single"/>
    </w:rPr>
  </w:style>
  <w:style w:type="character" w:styleId="14">
    <w:name w:val="annotation reference"/>
    <w:uiPriority w:val="0"/>
    <w:rPr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sc101"/>
    <w:basedOn w:val="11"/>
    <w:uiPriority w:val="0"/>
    <w:rPr>
      <w:b/>
      <w:color w:val="000080"/>
    </w:rPr>
  </w:style>
  <w:style w:type="character" w:customStyle="1" w:styleId="17">
    <w:name w:val="sc161"/>
    <w:basedOn w:val="11"/>
    <w:uiPriority w:val="0"/>
    <w:rPr>
      <w:color w:val="8000FF"/>
    </w:rPr>
  </w:style>
  <w:style w:type="character" w:customStyle="1" w:styleId="18">
    <w:name w:val="sc41"/>
    <w:basedOn w:val="11"/>
    <w:uiPriority w:val="0"/>
    <w:rPr>
      <w:color w:val="FF8000"/>
    </w:rPr>
  </w:style>
  <w:style w:type="character" w:customStyle="1" w:styleId="19">
    <w:name w:val="sc51"/>
    <w:basedOn w:val="11"/>
    <w:uiPriority w:val="0"/>
    <w:rPr>
      <w:b/>
      <w:color w:val="0000FF"/>
    </w:rPr>
  </w:style>
  <w:style w:type="character" w:customStyle="1" w:styleId="20">
    <w:name w:val="sc61"/>
    <w:basedOn w:val="11"/>
    <w:uiPriority w:val="0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Hangxue Liu</cp:lastModifiedBy>
  <dcterms:modified xsi:type="dcterms:W3CDTF">2019-06-09T10:13:53Z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