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45AD8" w14:textId="77777777" w:rsidR="00F12227" w:rsidRPr="00724C39" w:rsidRDefault="00F12227" w:rsidP="00F12227">
      <w:pPr>
        <w:spacing w:line="360" w:lineRule="auto"/>
        <w:jc w:val="both"/>
        <w:rPr>
          <w:szCs w:val="28"/>
        </w:rPr>
      </w:pPr>
      <w:r w:rsidRPr="00724C39">
        <w:rPr>
          <w:szCs w:val="28"/>
        </w:rPr>
        <w:t>Таблица Г.1 – Анализ применимости в объекте исследований известных объектов промышленной (интеллектуальной) собственности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4"/>
        <w:gridCol w:w="2762"/>
        <w:gridCol w:w="2503"/>
        <w:gridCol w:w="2226"/>
        <w:gridCol w:w="2925"/>
        <w:gridCol w:w="1720"/>
      </w:tblGrid>
      <w:tr w:rsidR="00F12227" w:rsidRPr="00724C39" w14:paraId="2A580AE6" w14:textId="77777777" w:rsidTr="00031518">
        <w:tc>
          <w:tcPr>
            <w:tcW w:w="838" w:type="pct"/>
            <w:vAlign w:val="center"/>
          </w:tcPr>
          <w:p w14:paraId="60BE00A2" w14:textId="77777777" w:rsidR="00F12227" w:rsidRPr="00724C39" w:rsidRDefault="00F12227" w:rsidP="00031518">
            <w:pPr>
              <w:tabs>
                <w:tab w:val="right" w:leader="dot" w:pos="9628"/>
              </w:tabs>
              <w:spacing w:line="216" w:lineRule="auto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Вид промышленной собственности, наименование объекта промышленной собственности, патентообладатель (страна, фирма)</w:t>
            </w:r>
          </w:p>
        </w:tc>
        <w:tc>
          <w:tcPr>
            <w:tcW w:w="954" w:type="pct"/>
            <w:vAlign w:val="center"/>
          </w:tcPr>
          <w:p w14:paraId="742B43E7" w14:textId="77777777" w:rsidR="00F12227" w:rsidRPr="00724C39" w:rsidRDefault="00F12227" w:rsidP="00031518">
            <w:pPr>
              <w:tabs>
                <w:tab w:val="right" w:leader="dot" w:pos="9628"/>
              </w:tabs>
              <w:spacing w:line="216" w:lineRule="auto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Номер охранного документа, классификационный индекс, номер и дата подачи заявки (страна, номер заявки и дата конвенционного приоритета) и другие библиографические данные</w:t>
            </w:r>
          </w:p>
        </w:tc>
        <w:tc>
          <w:tcPr>
            <w:tcW w:w="865" w:type="pct"/>
            <w:vAlign w:val="center"/>
          </w:tcPr>
          <w:p w14:paraId="3AD8FB31" w14:textId="77777777" w:rsidR="00F12227" w:rsidRPr="00724C39" w:rsidRDefault="00F12227" w:rsidP="00031518">
            <w:pPr>
              <w:tabs>
                <w:tab w:val="right" w:leader="dot" w:pos="9628"/>
              </w:tabs>
              <w:spacing w:line="216" w:lineRule="auto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Наименование составных частей объекта исследования, в которых могут быть использованы объекты промышленной собственности</w:t>
            </w:r>
          </w:p>
        </w:tc>
        <w:tc>
          <w:tcPr>
            <w:tcW w:w="770" w:type="pct"/>
            <w:vAlign w:val="center"/>
          </w:tcPr>
          <w:p w14:paraId="31294D76" w14:textId="77777777" w:rsidR="00F12227" w:rsidRPr="00724C39" w:rsidRDefault="00F12227" w:rsidP="00031518">
            <w:pPr>
              <w:tabs>
                <w:tab w:val="right" w:leader="dot" w:pos="9628"/>
              </w:tabs>
              <w:spacing w:line="216" w:lineRule="auto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Оценка влияния использованных объектов промышленной собственности на характеристики объекта исследования</w:t>
            </w:r>
          </w:p>
        </w:tc>
        <w:tc>
          <w:tcPr>
            <w:tcW w:w="1010" w:type="pct"/>
            <w:vAlign w:val="center"/>
          </w:tcPr>
          <w:p w14:paraId="188D665C" w14:textId="77777777" w:rsidR="00F12227" w:rsidRPr="00724C39" w:rsidRDefault="00F12227" w:rsidP="00031518">
            <w:pPr>
              <w:tabs>
                <w:tab w:val="right" w:leader="dot" w:pos="9628"/>
              </w:tabs>
              <w:spacing w:line="216" w:lineRule="auto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Возможность и целесообразность использования объекта промышленной собственности (в т.ч. приобретения лицензии) или причины отказа от использования</w:t>
            </w:r>
          </w:p>
        </w:tc>
        <w:tc>
          <w:tcPr>
            <w:tcW w:w="563" w:type="pct"/>
            <w:vAlign w:val="center"/>
          </w:tcPr>
          <w:p w14:paraId="039C9DA2" w14:textId="77777777" w:rsidR="00F12227" w:rsidRPr="00724C39" w:rsidRDefault="00F12227" w:rsidP="00031518">
            <w:pPr>
              <w:tabs>
                <w:tab w:val="right" w:leader="dot" w:pos="9628"/>
              </w:tabs>
              <w:spacing w:line="216" w:lineRule="auto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Ожидаемый эффект</w:t>
            </w:r>
          </w:p>
        </w:tc>
      </w:tr>
      <w:tr w:rsidR="00F12227" w:rsidRPr="00724C39" w14:paraId="375E9888" w14:textId="77777777" w:rsidTr="00031518">
        <w:tc>
          <w:tcPr>
            <w:tcW w:w="838" w:type="pct"/>
            <w:vAlign w:val="center"/>
          </w:tcPr>
          <w:p w14:paraId="0EA6D221" w14:textId="77777777" w:rsidR="00F12227" w:rsidRPr="00724C39" w:rsidRDefault="00F12227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1</w:t>
            </w:r>
          </w:p>
        </w:tc>
        <w:tc>
          <w:tcPr>
            <w:tcW w:w="954" w:type="pct"/>
            <w:vAlign w:val="center"/>
          </w:tcPr>
          <w:p w14:paraId="30D7F4C9" w14:textId="77777777" w:rsidR="00F12227" w:rsidRPr="00724C39" w:rsidRDefault="00F12227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2</w:t>
            </w:r>
          </w:p>
        </w:tc>
        <w:tc>
          <w:tcPr>
            <w:tcW w:w="865" w:type="pct"/>
            <w:vAlign w:val="center"/>
          </w:tcPr>
          <w:p w14:paraId="67D690B8" w14:textId="77777777" w:rsidR="00F12227" w:rsidRPr="00724C39" w:rsidRDefault="00F12227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3</w:t>
            </w:r>
          </w:p>
        </w:tc>
        <w:tc>
          <w:tcPr>
            <w:tcW w:w="770" w:type="pct"/>
            <w:vAlign w:val="center"/>
          </w:tcPr>
          <w:p w14:paraId="2D7ACA8C" w14:textId="77777777" w:rsidR="00F12227" w:rsidRPr="00724C39" w:rsidRDefault="00F12227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4</w:t>
            </w:r>
          </w:p>
        </w:tc>
        <w:tc>
          <w:tcPr>
            <w:tcW w:w="1010" w:type="pct"/>
            <w:vAlign w:val="center"/>
          </w:tcPr>
          <w:p w14:paraId="5AB91F52" w14:textId="77777777" w:rsidR="00F12227" w:rsidRPr="00724C39" w:rsidRDefault="00F12227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5</w:t>
            </w:r>
          </w:p>
        </w:tc>
        <w:tc>
          <w:tcPr>
            <w:tcW w:w="563" w:type="pct"/>
            <w:vAlign w:val="center"/>
          </w:tcPr>
          <w:p w14:paraId="0AF36B0D" w14:textId="77777777" w:rsidR="00F12227" w:rsidRPr="00724C39" w:rsidRDefault="00F12227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6</w:t>
            </w:r>
          </w:p>
        </w:tc>
      </w:tr>
      <w:tr w:rsidR="00F12227" w:rsidRPr="00724C39" w14:paraId="1AE22201" w14:textId="77777777" w:rsidTr="00031518">
        <w:tc>
          <w:tcPr>
            <w:tcW w:w="838" w:type="pct"/>
            <w:vAlign w:val="center"/>
          </w:tcPr>
          <w:p w14:paraId="120F9F8A" w14:textId="0097139B" w:rsidR="00F12227" w:rsidRPr="00724C39" w:rsidRDefault="00893BF0" w:rsidP="00F12227">
            <w:pPr>
              <w:jc w:val="center"/>
              <w:rPr>
                <w:noProof/>
                <w:sz w:val="22"/>
              </w:rPr>
            </w:pPr>
            <w:r w:rsidRPr="00724C39">
              <w:rPr>
                <w:noProof/>
                <w:sz w:val="22"/>
              </w:rPr>
              <w:t>EMOTIV Epoc.</w:t>
            </w:r>
          </w:p>
        </w:tc>
        <w:tc>
          <w:tcPr>
            <w:tcW w:w="954" w:type="pct"/>
            <w:vAlign w:val="center"/>
          </w:tcPr>
          <w:p w14:paraId="5B311948" w14:textId="0F8EF8F7" w:rsidR="00F12227" w:rsidRPr="00724C39" w:rsidRDefault="00F12227" w:rsidP="00893BF0">
            <w:pPr>
              <w:jc w:val="center"/>
              <w:rPr>
                <w:sz w:val="22"/>
              </w:rPr>
            </w:pPr>
            <w:r w:rsidRPr="00724C39">
              <w:rPr>
                <w:sz w:val="22"/>
              </w:rPr>
              <w:t xml:space="preserve">Патент </w:t>
            </w:r>
            <w:r w:rsidR="00893BF0" w:rsidRPr="00724C39">
              <w:rPr>
                <w:sz w:val="22"/>
              </w:rPr>
              <w:t>US9508451B2</w:t>
            </w:r>
            <w:r w:rsidRPr="00724C39">
              <w:rPr>
                <w:sz w:val="22"/>
              </w:rPr>
              <w:t xml:space="preserve">, Класс </w:t>
            </w:r>
            <w:r w:rsidR="00893BF0" w:rsidRPr="00724C39">
              <w:rPr>
                <w:sz w:val="22"/>
              </w:rPr>
              <w:t>A61B5/0402, Подана: 2014-03</w:t>
            </w:r>
            <w:r w:rsidRPr="00724C39">
              <w:rPr>
                <w:sz w:val="22"/>
              </w:rPr>
              <w:t>-</w:t>
            </w:r>
            <w:r w:rsidR="00893BF0" w:rsidRPr="00724C39">
              <w:rPr>
                <w:sz w:val="22"/>
              </w:rPr>
              <w:t>24</w:t>
            </w:r>
          </w:p>
        </w:tc>
        <w:tc>
          <w:tcPr>
            <w:tcW w:w="865" w:type="pct"/>
            <w:vAlign w:val="center"/>
          </w:tcPr>
          <w:p w14:paraId="623FC69F" w14:textId="77777777" w:rsidR="00F12227" w:rsidRPr="00724C39" w:rsidRDefault="00893BF0" w:rsidP="00724C39">
            <w:pPr>
              <w:rPr>
                <w:sz w:val="22"/>
              </w:rPr>
            </w:pPr>
            <w:r w:rsidRPr="00724C39">
              <w:rPr>
                <w:sz w:val="22"/>
              </w:rPr>
              <w:t>Электроды</w:t>
            </w:r>
            <w:r w:rsidRPr="00724C39">
              <w:rPr>
                <w:sz w:val="22"/>
              </w:rPr>
              <w:br/>
              <w:t>Датчики движения</w:t>
            </w:r>
          </w:p>
          <w:p w14:paraId="05A3CBBB" w14:textId="4DFD1029" w:rsidR="00893BF0" w:rsidRPr="00724C39" w:rsidRDefault="00893BF0" w:rsidP="00724C39">
            <w:pPr>
              <w:rPr>
                <w:sz w:val="22"/>
              </w:rPr>
            </w:pPr>
            <w:r w:rsidRPr="00724C39">
              <w:rPr>
                <w:sz w:val="22"/>
              </w:rPr>
              <w:t>Беспроводной приемник</w:t>
            </w:r>
            <w:r w:rsidRPr="00724C39">
              <w:rPr>
                <w:sz w:val="22"/>
              </w:rPr>
              <w:br/>
              <w:t>Программное обеспечение</w:t>
            </w:r>
            <w:r w:rsidRPr="00724C39">
              <w:rPr>
                <w:sz w:val="22"/>
              </w:rPr>
              <w:br/>
              <w:t>Гарнитура или шлем</w:t>
            </w:r>
          </w:p>
        </w:tc>
        <w:tc>
          <w:tcPr>
            <w:tcW w:w="770" w:type="pct"/>
            <w:vAlign w:val="center"/>
          </w:tcPr>
          <w:p w14:paraId="77CB7FF9" w14:textId="5488A7EA" w:rsidR="00F12227" w:rsidRPr="00724C39" w:rsidRDefault="00893BF0" w:rsidP="00724C39">
            <w:pPr>
              <w:tabs>
                <w:tab w:val="right" w:leader="dot" w:pos="9628"/>
              </w:tabs>
              <w:spacing w:line="264" w:lineRule="auto"/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Устройство может быть полезно для медицинских диагностических процедур, исследований психофизиологии и управления устройствами с помощью мыслей.</w:t>
            </w:r>
          </w:p>
        </w:tc>
        <w:tc>
          <w:tcPr>
            <w:tcW w:w="1010" w:type="pct"/>
            <w:vAlign w:val="center"/>
          </w:tcPr>
          <w:p w14:paraId="54F978C1" w14:textId="5FFFCDF2" w:rsidR="00F12227" w:rsidRPr="00724C39" w:rsidRDefault="00893BF0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EMOTIV Epoc может быть полезен для исследовательских и медицинских целей, а также для разработки новых технологий в области интерфейсов мозг-ко</w:t>
            </w:r>
            <w:bookmarkStart w:id="0" w:name="_GoBack"/>
            <w:bookmarkEnd w:id="0"/>
            <w:r w:rsidRPr="00724C39">
              <w:rPr>
                <w:bCs/>
                <w:noProof/>
                <w:sz w:val="22"/>
              </w:rPr>
              <w:t>мпьютер.</w:t>
            </w:r>
          </w:p>
        </w:tc>
        <w:tc>
          <w:tcPr>
            <w:tcW w:w="563" w:type="pct"/>
            <w:vAlign w:val="center"/>
          </w:tcPr>
          <w:p w14:paraId="019A635A" w14:textId="36C41565" w:rsidR="00F12227" w:rsidRPr="00724C39" w:rsidRDefault="00893BF0" w:rsidP="00724C39">
            <w:pPr>
              <w:tabs>
                <w:tab w:val="right" w:leader="dot" w:pos="9628"/>
              </w:tabs>
              <w:spacing w:line="264" w:lineRule="auto"/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Ожидается, что использование EMOTIV Epoc способствует развитию новых методов анализа мозговой активности, а также созданию инновационных технологий, улучшающих взаимодействие человека с машинами и устройствами.</w:t>
            </w:r>
          </w:p>
        </w:tc>
      </w:tr>
      <w:tr w:rsidR="00F12227" w:rsidRPr="00724C39" w14:paraId="045EC902" w14:textId="77777777" w:rsidTr="00F12227">
        <w:trPr>
          <w:trHeight w:val="4566"/>
        </w:trPr>
        <w:tc>
          <w:tcPr>
            <w:tcW w:w="838" w:type="pct"/>
            <w:vAlign w:val="center"/>
          </w:tcPr>
          <w:p w14:paraId="3DA1240B" w14:textId="719B03E3" w:rsidR="00F12227" w:rsidRPr="00724C39" w:rsidRDefault="00893BF0" w:rsidP="00F12227">
            <w:pPr>
              <w:jc w:val="center"/>
              <w:rPr>
                <w:noProof/>
                <w:sz w:val="22"/>
              </w:rPr>
            </w:pPr>
            <w:r w:rsidRPr="00724C39">
              <w:rPr>
                <w:noProof/>
                <w:sz w:val="22"/>
              </w:rPr>
              <w:lastRenderedPageBreak/>
              <w:t>BrainGate</w:t>
            </w:r>
          </w:p>
        </w:tc>
        <w:tc>
          <w:tcPr>
            <w:tcW w:w="954" w:type="pct"/>
            <w:vAlign w:val="center"/>
          </w:tcPr>
          <w:p w14:paraId="69F08A51" w14:textId="48522837" w:rsidR="00F12227" w:rsidRPr="00724C39" w:rsidRDefault="00F12227" w:rsidP="00893BF0">
            <w:pPr>
              <w:jc w:val="center"/>
              <w:rPr>
                <w:sz w:val="22"/>
              </w:rPr>
            </w:pPr>
            <w:r w:rsidRPr="00724C39">
              <w:rPr>
                <w:sz w:val="22"/>
              </w:rPr>
              <w:t xml:space="preserve">Патент </w:t>
            </w:r>
            <w:r w:rsidR="00893BF0" w:rsidRPr="00724C39">
              <w:rPr>
                <w:sz w:val="22"/>
              </w:rPr>
              <w:t>US20090259098A1</w:t>
            </w:r>
            <w:r w:rsidRPr="00724C39">
              <w:rPr>
                <w:sz w:val="22"/>
              </w:rPr>
              <w:t xml:space="preserve">, Класс </w:t>
            </w:r>
            <w:r w:rsidR="00893BF0" w:rsidRPr="00724C39">
              <w:rPr>
                <w:sz w:val="22"/>
              </w:rPr>
              <w:t>A61B5/0402, Подана: 2006-05-01</w:t>
            </w:r>
          </w:p>
        </w:tc>
        <w:tc>
          <w:tcPr>
            <w:tcW w:w="865" w:type="pct"/>
            <w:vAlign w:val="center"/>
          </w:tcPr>
          <w:p w14:paraId="4BF73AD7" w14:textId="6F02C3EA" w:rsidR="00F12227" w:rsidRPr="00724C39" w:rsidRDefault="00F12227" w:rsidP="00724C39">
            <w:pPr>
              <w:rPr>
                <w:sz w:val="22"/>
              </w:rPr>
            </w:pPr>
            <w:r w:rsidRPr="00724C39">
              <w:rPr>
                <w:sz w:val="22"/>
              </w:rPr>
              <w:t>Сенсоры отслеживания движений для перчаток виртуальной реальности</w:t>
            </w:r>
          </w:p>
        </w:tc>
        <w:tc>
          <w:tcPr>
            <w:tcW w:w="770" w:type="pct"/>
            <w:vAlign w:val="center"/>
          </w:tcPr>
          <w:p w14:paraId="669915C8" w14:textId="42CC30AD" w:rsidR="00F12227" w:rsidRPr="00724C39" w:rsidRDefault="00893BF0" w:rsidP="00724C39">
            <w:pPr>
              <w:tabs>
                <w:tab w:val="right" w:leader="dot" w:pos="9628"/>
              </w:tabs>
              <w:spacing w:line="264" w:lineRule="auto"/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BrainGate имеет потенциал значительно улучшить качество жизни людей с ограниченными физическими возможностями, позволяя им взаимодействовать с внешним миром с помощью мыслей.</w:t>
            </w:r>
          </w:p>
        </w:tc>
        <w:tc>
          <w:tcPr>
            <w:tcW w:w="1010" w:type="pct"/>
            <w:vAlign w:val="center"/>
          </w:tcPr>
          <w:p w14:paraId="19E58508" w14:textId="61FC1ABD" w:rsidR="00F12227" w:rsidRPr="00724C39" w:rsidRDefault="00893BF0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Использование BrainGate может быть весьма целесообразным для пациентов с ограниченными двигательными способностями, такими как люди с травмой спинного мозга или ампутированные конечности. Приобретение лицензии на использование данного устройства может быть оправдано для медицинских целей и исследований.</w:t>
            </w:r>
          </w:p>
        </w:tc>
        <w:tc>
          <w:tcPr>
            <w:tcW w:w="563" w:type="pct"/>
            <w:vAlign w:val="center"/>
          </w:tcPr>
          <w:p w14:paraId="152D428D" w14:textId="19D7CF3F" w:rsidR="00F12227" w:rsidRPr="00724C39" w:rsidRDefault="00893BF0" w:rsidP="00724C39">
            <w:pPr>
              <w:tabs>
                <w:tab w:val="right" w:leader="dot" w:pos="9628"/>
              </w:tabs>
              <w:spacing w:line="264" w:lineRule="auto"/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Ожидается, что BrainGate позволит людям с ограниченными физическими возможностями восстановить часть своей мобильности и независимости, а также способствует дальнейшему развитию технологий интерфейсов мозг-компьютер.</w:t>
            </w:r>
          </w:p>
        </w:tc>
      </w:tr>
    </w:tbl>
    <w:p w14:paraId="47D88CFF" w14:textId="4AB94063" w:rsidR="00A54EFC" w:rsidRPr="00724C39" w:rsidRDefault="00A54EFC">
      <w:pPr>
        <w:rPr>
          <w:sz w:val="22"/>
        </w:rPr>
      </w:pPr>
    </w:p>
    <w:p w14:paraId="3FE7F1AD" w14:textId="402F6046" w:rsidR="00D350BF" w:rsidRPr="00724C39" w:rsidRDefault="00D350BF">
      <w:pPr>
        <w:rPr>
          <w:sz w:val="22"/>
        </w:rPr>
      </w:pPr>
    </w:p>
    <w:p w14:paraId="5D7B37B2" w14:textId="77777777" w:rsidR="00724C39" w:rsidRPr="00724C39" w:rsidRDefault="00724C39">
      <w:pPr>
        <w:spacing w:after="160" w:line="259" w:lineRule="auto"/>
        <w:rPr>
          <w:szCs w:val="28"/>
        </w:rPr>
      </w:pPr>
      <w:bookmarkStart w:id="1" w:name="_Hlk162832893"/>
      <w:r w:rsidRPr="00724C39">
        <w:rPr>
          <w:szCs w:val="28"/>
        </w:rPr>
        <w:br w:type="page"/>
      </w:r>
    </w:p>
    <w:p w14:paraId="574EFE8A" w14:textId="302D8605" w:rsidR="00D350BF" w:rsidRPr="00724C39" w:rsidRDefault="00D350BF" w:rsidP="00D350BF">
      <w:pPr>
        <w:spacing w:line="360" w:lineRule="auto"/>
        <w:rPr>
          <w:szCs w:val="28"/>
        </w:rPr>
      </w:pPr>
      <w:r w:rsidRPr="00724C39">
        <w:rPr>
          <w:szCs w:val="28"/>
        </w:rPr>
        <w:lastRenderedPageBreak/>
        <w:t>Таблица Г.2 – Оценка патентоспособности вновь созданных технических и художественно-конструкторских решений, определение целесообразности их правовой охраны</w:t>
      </w:r>
    </w:p>
    <w:tbl>
      <w:tblPr>
        <w:tblW w:w="1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2977"/>
        <w:gridCol w:w="2977"/>
        <w:gridCol w:w="2551"/>
        <w:gridCol w:w="2056"/>
        <w:gridCol w:w="2274"/>
      </w:tblGrid>
      <w:tr w:rsidR="00D350BF" w:rsidRPr="00724C39" w14:paraId="772EB49C" w14:textId="77777777" w:rsidTr="00031518">
        <w:tc>
          <w:tcPr>
            <w:tcW w:w="1951" w:type="dxa"/>
            <w:vAlign w:val="center"/>
          </w:tcPr>
          <w:p w14:paraId="0C87D83E" w14:textId="77777777" w:rsidR="00D350BF" w:rsidRPr="00724C39" w:rsidRDefault="00D350BF" w:rsidP="00031518">
            <w:pPr>
              <w:tabs>
                <w:tab w:val="right" w:leader="dot" w:pos="9628"/>
              </w:tabs>
              <w:ind w:left="-57" w:right="-57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Название технических, художественно-конструкторских решений, предлагаемых к правовой охране</w:t>
            </w:r>
          </w:p>
        </w:tc>
        <w:tc>
          <w:tcPr>
            <w:tcW w:w="2977" w:type="dxa"/>
            <w:vAlign w:val="center"/>
          </w:tcPr>
          <w:p w14:paraId="527F6969" w14:textId="77777777" w:rsidR="00D350BF" w:rsidRPr="00724C39" w:rsidRDefault="00D350BF" w:rsidP="00031518">
            <w:pPr>
              <w:tabs>
                <w:tab w:val="right" w:leader="dot" w:pos="9628"/>
              </w:tabs>
              <w:ind w:left="-57" w:right="-57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Сущность решений, предлагаемых в правовой охране</w:t>
            </w:r>
          </w:p>
        </w:tc>
        <w:tc>
          <w:tcPr>
            <w:tcW w:w="2977" w:type="dxa"/>
            <w:vAlign w:val="center"/>
          </w:tcPr>
          <w:p w14:paraId="7CFBC565" w14:textId="77777777" w:rsidR="00D350BF" w:rsidRPr="00724C39" w:rsidRDefault="00D350BF" w:rsidP="00031518">
            <w:pPr>
              <w:tabs>
                <w:tab w:val="right" w:leader="dot" w:pos="9628"/>
              </w:tabs>
              <w:ind w:left="-57" w:right="-57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Прототипы решений, предлагаемых к правовой охране</w:t>
            </w:r>
          </w:p>
        </w:tc>
        <w:tc>
          <w:tcPr>
            <w:tcW w:w="2551" w:type="dxa"/>
            <w:vAlign w:val="center"/>
          </w:tcPr>
          <w:p w14:paraId="61D0B53E" w14:textId="77777777" w:rsidR="00D350BF" w:rsidRPr="00724C39" w:rsidRDefault="00D350BF" w:rsidP="00031518">
            <w:pPr>
              <w:tabs>
                <w:tab w:val="right" w:leader="dot" w:pos="9628"/>
              </w:tabs>
              <w:ind w:left="-57" w:right="-57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Достигаемый технический результат и его влияние на характеристики объекта хозяйственной деятельности</w:t>
            </w:r>
          </w:p>
        </w:tc>
        <w:tc>
          <w:tcPr>
            <w:tcW w:w="2056" w:type="dxa"/>
            <w:vAlign w:val="center"/>
          </w:tcPr>
          <w:p w14:paraId="1EC5E79D" w14:textId="77777777" w:rsidR="00D350BF" w:rsidRPr="00724C39" w:rsidRDefault="00D350BF" w:rsidP="00031518">
            <w:pPr>
              <w:tabs>
                <w:tab w:val="right" w:leader="dot" w:pos="9628"/>
              </w:tabs>
              <w:ind w:left="-57" w:right="-57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Патентоспособность и квалификация предложенных решений (возможность отнесения к изобретениям, полезным моделям, промышленным образцам)</w:t>
            </w:r>
          </w:p>
        </w:tc>
        <w:tc>
          <w:tcPr>
            <w:tcW w:w="2274" w:type="dxa"/>
            <w:vAlign w:val="center"/>
          </w:tcPr>
          <w:p w14:paraId="29532E94" w14:textId="77777777" w:rsidR="00D350BF" w:rsidRPr="00724C39" w:rsidRDefault="00D350BF" w:rsidP="00031518">
            <w:pPr>
              <w:tabs>
                <w:tab w:val="right" w:leader="dot" w:pos="9628"/>
              </w:tabs>
              <w:ind w:left="-57" w:right="-57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Целесообразность правовой охраны и обоснование выбора стран патентования или причина отказа от правовой охраны и целесообразность отнесения к ноу-хау</w:t>
            </w:r>
          </w:p>
        </w:tc>
      </w:tr>
      <w:tr w:rsidR="00D350BF" w:rsidRPr="00724C39" w14:paraId="0F3C072A" w14:textId="77777777" w:rsidTr="00031518">
        <w:tc>
          <w:tcPr>
            <w:tcW w:w="1951" w:type="dxa"/>
            <w:vAlign w:val="center"/>
          </w:tcPr>
          <w:p w14:paraId="55D3C480" w14:textId="77777777" w:rsidR="00D350BF" w:rsidRPr="00724C39" w:rsidRDefault="00D350BF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382637D8" w14:textId="77777777" w:rsidR="00D350BF" w:rsidRPr="00724C39" w:rsidRDefault="00D350BF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2</w:t>
            </w:r>
          </w:p>
        </w:tc>
        <w:tc>
          <w:tcPr>
            <w:tcW w:w="2977" w:type="dxa"/>
            <w:vAlign w:val="center"/>
          </w:tcPr>
          <w:p w14:paraId="2D392F0A" w14:textId="77777777" w:rsidR="00D350BF" w:rsidRPr="00724C39" w:rsidRDefault="00D350BF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3</w:t>
            </w:r>
          </w:p>
        </w:tc>
        <w:tc>
          <w:tcPr>
            <w:tcW w:w="2551" w:type="dxa"/>
            <w:vAlign w:val="center"/>
          </w:tcPr>
          <w:p w14:paraId="05CE56BF" w14:textId="77777777" w:rsidR="00D350BF" w:rsidRPr="00724C39" w:rsidRDefault="00D350BF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4</w:t>
            </w:r>
          </w:p>
        </w:tc>
        <w:tc>
          <w:tcPr>
            <w:tcW w:w="2056" w:type="dxa"/>
            <w:vAlign w:val="center"/>
          </w:tcPr>
          <w:p w14:paraId="57E29522" w14:textId="77777777" w:rsidR="00D350BF" w:rsidRPr="00724C39" w:rsidRDefault="00D350BF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5</w:t>
            </w:r>
          </w:p>
        </w:tc>
        <w:tc>
          <w:tcPr>
            <w:tcW w:w="2274" w:type="dxa"/>
            <w:vAlign w:val="center"/>
          </w:tcPr>
          <w:p w14:paraId="2A801896" w14:textId="77777777" w:rsidR="00D350BF" w:rsidRPr="00724C39" w:rsidRDefault="00D350BF" w:rsidP="00031518">
            <w:pPr>
              <w:tabs>
                <w:tab w:val="right" w:leader="dot" w:pos="9628"/>
              </w:tabs>
              <w:ind w:right="-1"/>
              <w:jc w:val="center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6</w:t>
            </w:r>
          </w:p>
        </w:tc>
      </w:tr>
      <w:tr w:rsidR="00D350BF" w:rsidRPr="00724C39" w14:paraId="0FABBE2A" w14:textId="77777777" w:rsidTr="00031518">
        <w:trPr>
          <w:trHeight w:val="2960"/>
        </w:trPr>
        <w:tc>
          <w:tcPr>
            <w:tcW w:w="1951" w:type="dxa"/>
            <w:vAlign w:val="center"/>
          </w:tcPr>
          <w:p w14:paraId="44857228" w14:textId="29CC2AF7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Новые методы считывания и анализа электрической активности мозга, используемые в устройстве EMOTIV Epoc.</w:t>
            </w:r>
          </w:p>
        </w:tc>
        <w:tc>
          <w:tcPr>
            <w:tcW w:w="2977" w:type="dxa"/>
            <w:vAlign w:val="center"/>
          </w:tcPr>
          <w:p w14:paraId="2DF1CFB0" w14:textId="57E4414B" w:rsidR="00D350BF" w:rsidRPr="00724C39" w:rsidRDefault="00724C39" w:rsidP="00724C39">
            <w:pPr>
              <w:tabs>
                <w:tab w:val="right" w:leader="dot" w:pos="9628"/>
              </w:tabs>
              <w:ind w:left="-57" w:right="-57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Решения направлены на разработку устройства, способного эффективно считывать и интерпретировать сигналы мозга с помощью электродов, а также предоставлять инструменты для анализа и визуализации этих данных.</w:t>
            </w:r>
          </w:p>
        </w:tc>
        <w:tc>
          <w:tcPr>
            <w:tcW w:w="2977" w:type="dxa"/>
            <w:vAlign w:val="center"/>
          </w:tcPr>
          <w:p w14:paraId="755EBAC4" w14:textId="0C4BFE2A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Прототипом таких решений является само устройство EMOTIV Epoc, которое разрабатывается и тестируется для использования в исследованиях и медицинских приложениях.</w:t>
            </w:r>
          </w:p>
        </w:tc>
        <w:tc>
          <w:tcPr>
            <w:tcW w:w="2551" w:type="dxa"/>
            <w:vAlign w:val="center"/>
          </w:tcPr>
          <w:p w14:paraId="1106C4F8" w14:textId="1500A6F7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Технический результат заключается в создании устройства, которое позволяет пользователям управлять устройствами и взаимодействовать с виртуальной средой с помощью мыслей, что может значительно улучшить их работу и качество жизни.</w:t>
            </w:r>
          </w:p>
        </w:tc>
        <w:tc>
          <w:tcPr>
            <w:tcW w:w="2056" w:type="dxa"/>
            <w:vAlign w:val="center"/>
          </w:tcPr>
          <w:p w14:paraId="4BBF09B4" w14:textId="46B0CC7F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Предложенные решения могут быть квалифицированы как изобретения, поскольку они включают в себя новые методы и технологии. Они также могут быть признаны полезными моделями или промышленными образцами в зависимости от их конкретных характеристик.</w:t>
            </w:r>
            <w:r w:rsidR="00D350BF" w:rsidRPr="00724C39">
              <w:rPr>
                <w:bCs/>
                <w:noProof/>
                <w:sz w:val="22"/>
              </w:rPr>
              <w:t>.</w:t>
            </w:r>
          </w:p>
        </w:tc>
        <w:tc>
          <w:tcPr>
            <w:tcW w:w="2274" w:type="dxa"/>
            <w:vAlign w:val="center"/>
          </w:tcPr>
          <w:p w14:paraId="19DEB3FD" w14:textId="1CC9723A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Правовая охрана данных решений целесообразна для защиты интеллектуальной собственности и обеспечения экономической выгоды. Выбор страны патентования может определяться рыночными возможностями и юридическими аспектами.</w:t>
            </w:r>
          </w:p>
        </w:tc>
      </w:tr>
      <w:tr w:rsidR="00D350BF" w:rsidRPr="00724C39" w14:paraId="4E519286" w14:textId="77777777" w:rsidTr="00031518">
        <w:trPr>
          <w:trHeight w:val="2960"/>
        </w:trPr>
        <w:tc>
          <w:tcPr>
            <w:tcW w:w="1951" w:type="dxa"/>
            <w:vAlign w:val="center"/>
          </w:tcPr>
          <w:p w14:paraId="6DC0A089" w14:textId="171114D9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lastRenderedPageBreak/>
              <w:t>Система считывания электрической активности мозга для управления внешними устройствами.</w:t>
            </w:r>
          </w:p>
        </w:tc>
        <w:tc>
          <w:tcPr>
            <w:tcW w:w="2977" w:type="dxa"/>
            <w:vAlign w:val="center"/>
          </w:tcPr>
          <w:p w14:paraId="11DBAAAC" w14:textId="32B43454" w:rsidR="00D350BF" w:rsidRPr="00724C39" w:rsidRDefault="00724C39" w:rsidP="00724C39">
            <w:pPr>
              <w:tabs>
                <w:tab w:val="right" w:leader="dot" w:pos="9628"/>
              </w:tabs>
              <w:ind w:left="-57" w:right="-57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Разработка системы, которая позволяет людям с ограниченными физическими возможностями контролировать компьютерные интерфейсы и протезы с помощью мыслей.</w:t>
            </w:r>
          </w:p>
        </w:tc>
        <w:tc>
          <w:tcPr>
            <w:tcW w:w="2977" w:type="dxa"/>
            <w:vAlign w:val="center"/>
          </w:tcPr>
          <w:p w14:paraId="332F488D" w14:textId="3D8D3827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Прототипом является сама система BrainGate, которая прошла серию клинических испытаний и тестирований.</w:t>
            </w:r>
          </w:p>
        </w:tc>
        <w:tc>
          <w:tcPr>
            <w:tcW w:w="2551" w:type="dxa"/>
            <w:vAlign w:val="center"/>
          </w:tcPr>
          <w:p w14:paraId="37FF0850" w14:textId="3FF93E81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BrainGate позволяет пользователям управлять устройствами с помощью мыслей, что может значительно улучшить их качество жизни и повысить их независимость.</w:t>
            </w:r>
          </w:p>
        </w:tc>
        <w:tc>
          <w:tcPr>
            <w:tcW w:w="2056" w:type="dxa"/>
            <w:vAlign w:val="center"/>
          </w:tcPr>
          <w:p w14:paraId="4DEEBCA7" w14:textId="712E1847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Предложенные решения могут быть квалифицированы как изобретение или полезная модель в зависимости от их уникальных характеристик и технических аспектов.</w:t>
            </w:r>
          </w:p>
        </w:tc>
        <w:tc>
          <w:tcPr>
            <w:tcW w:w="2274" w:type="dxa"/>
            <w:vAlign w:val="center"/>
          </w:tcPr>
          <w:p w14:paraId="5AC83978" w14:textId="4248B38E" w:rsidR="00D350BF" w:rsidRPr="00724C39" w:rsidRDefault="00724C39" w:rsidP="00724C39">
            <w:pPr>
              <w:tabs>
                <w:tab w:val="right" w:leader="dot" w:pos="9628"/>
              </w:tabs>
              <w:ind w:right="-1"/>
              <w:rPr>
                <w:bCs/>
                <w:noProof/>
                <w:sz w:val="22"/>
              </w:rPr>
            </w:pPr>
            <w:r w:rsidRPr="00724C39">
              <w:rPr>
                <w:bCs/>
                <w:noProof/>
                <w:sz w:val="22"/>
              </w:rPr>
              <w:t>Правовая охрана целесообразна для защиты интеллектуальной собственности и стимулирования дальнейшего развития технологий интерфейсов мозг-компьютер. Выбор страны патент</w:t>
            </w:r>
          </w:p>
        </w:tc>
      </w:tr>
      <w:bookmarkEnd w:id="1"/>
    </w:tbl>
    <w:p w14:paraId="748D42E1" w14:textId="77777777" w:rsidR="00D350BF" w:rsidRPr="00724C39" w:rsidRDefault="00D350BF">
      <w:pPr>
        <w:rPr>
          <w:sz w:val="22"/>
        </w:rPr>
      </w:pPr>
    </w:p>
    <w:sectPr w:rsidR="00D350BF" w:rsidRPr="00724C39" w:rsidSect="00D350B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EFC"/>
    <w:rsid w:val="00724C39"/>
    <w:rsid w:val="00893BF0"/>
    <w:rsid w:val="00A54EFC"/>
    <w:rsid w:val="00D350BF"/>
    <w:rsid w:val="00F1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F3D94"/>
  <w15:chartTrackingRefBased/>
  <w15:docId w15:val="{06D480CA-62F5-4FC2-BE17-DF14ED5A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2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6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Афонькин</dc:creator>
  <cp:keywords/>
  <dc:description/>
  <cp:lastModifiedBy>Павел Зозин</cp:lastModifiedBy>
  <cp:revision>4</cp:revision>
  <dcterms:created xsi:type="dcterms:W3CDTF">2024-03-31T21:05:00Z</dcterms:created>
  <dcterms:modified xsi:type="dcterms:W3CDTF">2024-05-13T10:09:00Z</dcterms:modified>
</cp:coreProperties>
</file>