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ebfc928db0be31d4ab8bae8908394fc007d3a8c"/>
    <w:p>
      <w:pPr>
        <w:pStyle w:val="Heading1"/>
      </w:pPr>
      <w:r>
        <w:t xml:space="preserve">Target Specification: Provider Monthly Claim Summary</w:t>
      </w:r>
    </w:p>
    <w:p>
      <w:pPr>
        <w:pStyle w:val="FirstParagraph"/>
      </w:pPr>
      <w:r>
        <w:rPr>
          <w:bCs/>
          <w:b/>
        </w:rPr>
        <w:t xml:space="preserve">Replaces:</w:t>
      </w:r>
      <w:r>
        <w:t xml:space="preserve"> </w:t>
      </w:r>
      <w:r>
        <w:t xml:space="preserve">legacy job</w:t>
      </w:r>
      <w:r>
        <w:t xml:space="preserve"> </w:t>
      </w:r>
      <w:r>
        <w:rPr>
          <w:rStyle w:val="VerbatimChar"/>
        </w:rPr>
        <w:t xml:space="preserve">PRVSUM01</w:t>
      </w:r>
      <w:r>
        <w:t xml:space="preserve"> </w:t>
      </w:r>
      <w:r>
        <w:t xml:space="preserve">(</w:t>
      </w:r>
      <w:r>
        <w:rPr>
          <w:rStyle w:val="VerbatimChar"/>
        </w:rPr>
        <w:t xml:space="preserve">legacy/legacy_pipeline.sql</w:t>
      </w:r>
      <w:r>
        <w:t xml:space="preserve">)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 (mock specification for demonstration; all data is synthetic)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Rebuild the legacy provider monthly claim summary so it runs on the new claims system's data model. The new pipeline produces a claim-level detail table, a provider summary report and an exceptions table, following the standards in section 7.</w:t>
      </w:r>
    </w:p>
    <w:p>
      <w:pPr>
        <w:pStyle w:val="BodyText"/>
      </w:pPr>
      <w:r>
        <w:t xml:space="preserve">The legacy job remains the reference for</w:t>
      </w:r>
      <w:r>
        <w:t xml:space="preserve"> </w:t>
      </w:r>
      <w:r>
        <w:rPr>
          <w:iCs/>
          <w:i/>
        </w:rPr>
        <w:t xml:space="preserve">current</w:t>
      </w:r>
      <w:r>
        <w:t xml:space="preserve"> </w:t>
      </w:r>
      <w:r>
        <w:t xml:space="preserve">behavior. Where this specification defines a rule differently from the legacy job,</w:t>
      </w:r>
      <w:r>
        <w:t xml:space="preserve"> </w:t>
      </w:r>
      <w:r>
        <w:rPr>
          <w:bCs/>
          <w:b/>
        </w:rPr>
        <w:t xml:space="preserve">this specification wins</w:t>
      </w:r>
      <w:r>
        <w:t xml:space="preserve">, and every such difference must be listed in the behavior-change log (section 8).</w:t>
      </w:r>
    </w:p>
    <w:bookmarkEnd w:id="20"/>
    <w:bookmarkStart w:id="21" w:name="Xbed1d94c1f595c605917a962e3dea472b32dd85"/>
    <w:p>
      <w:pPr>
        <w:pStyle w:val="Heading2"/>
      </w:pPr>
      <w:r>
        <w:t xml:space="preserve">2. Target technology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1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Item</w:t>
            </w:r>
          </w:p>
        </w:tc>
        <w:tc>
          <w:tcPr>
            <w:shd w:val="clear" w:color="auto" w:fill="D9E1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Standard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Language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Python 3.11+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Libraries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pandas, PyYAML (no other runtime dependencies)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Source database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SQLite: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new_system/new.db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Output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Same three tables written to an output SQLite database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as CSV files, one per table, named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&lt;table_name&gt;.csv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Configuration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YAML file; no business thresholds hardcoded in code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Tests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pytest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Deployment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Must run fully locally with no network access</w:t>
            </w:r>
          </w:p>
        </w:tc>
      </w:tr>
    </w:tbl>
    <w:bookmarkEnd w:id="21"/>
    <w:bookmarkStart w:id="26" w:name="Xd8fc0fe4a8474a838e6973f6f28581de6ef37bb"/>
    <w:p>
      <w:pPr>
        <w:pStyle w:val="Heading2"/>
      </w:pPr>
      <w:r>
        <w:t xml:space="preserve">3. Source data model (new system)</w:t>
      </w:r>
    </w:p>
    <w:bookmarkStart w:id="22" w:name="Xb0889b76378cf4ce164fab5224ce20f13c99a04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provider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1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Column</w:t>
            </w:r>
          </w:p>
        </w:tc>
        <w:tc>
          <w:tcPr>
            <w:shd w:val="clear" w:color="auto" w:fill="D9E1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Type</w:t>
            </w:r>
          </w:p>
        </w:tc>
        <w:tc>
          <w:tcPr>
            <w:shd w:val="clear" w:color="auto" w:fill="D9E1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npi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TEXT, PK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10-digit National Provider Identifier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provider_name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TEXT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state_code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TEXT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2-letter state</w:t>
            </w:r>
          </w:p>
        </w:tc>
      </w:tr>
    </w:tbl>
    <w:bookmarkEnd w:id="22"/>
    <w:bookmarkStart w:id="23" w:name="X085824d9d86cd34daff1ea0ac565e4ce6c643ef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claim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1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Column</w:t>
            </w:r>
          </w:p>
        </w:tc>
        <w:tc>
          <w:tcPr>
            <w:shd w:val="clear" w:color="auto" w:fill="D9E1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Type</w:t>
            </w:r>
          </w:p>
        </w:tc>
        <w:tc>
          <w:tcPr>
            <w:shd w:val="clear" w:color="auto" w:fill="D9E1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claim_id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TEXT, PK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npi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TEXT, FK → provider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beneficiary_id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TEXT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Synthetic MBI format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facility_type_code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TEXT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Type of bill, digit 1 (X12 837I CLM05-1)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bill_classification_code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TEXT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Type of bill, digit 2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claim_frequency_code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TEXT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Type of bill, digit 3 (CLM05-3)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service_from_date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DATE (ISO text)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service_through_date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DATE (ISO text)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received_date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DATE (ISO text), nullable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billed_amount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NUMERIC(11,2)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Total charges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allowed_amount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NUMERIC(11,2)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deductible_amount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NUMERIC(11,2)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Beneficiary deductible applied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coinsurance_amount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NUMERIC(11,2)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Beneficiary coinsurance applied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status_code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TEXT, FK → claim_status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</w:tbl>
    <w:bookmarkEnd w:id="23"/>
    <w:bookmarkStart w:id="24" w:name="Xb4d61dd901c0082ca1b303296539f45240fd239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claim_status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1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Column</w:t>
            </w:r>
          </w:p>
        </w:tc>
        <w:tc>
          <w:tcPr>
            <w:shd w:val="clear" w:color="auto" w:fill="D9E1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Type</w:t>
            </w:r>
          </w:p>
        </w:tc>
        <w:tc>
          <w:tcPr>
            <w:shd w:val="clear" w:color="auto" w:fill="D9E1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status_code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TEXT, PK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status_description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TEXT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is_payable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TEXT ('Y'/'N')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Controls inclusion. Status code lists must not be hardcoded.</w:t>
            </w:r>
          </w:p>
        </w:tc>
      </w:tr>
    </w:tbl>
    <w:bookmarkEnd w:id="24"/>
    <w:bookmarkStart w:id="25" w:name="X197c027f701e7c11754c34d0cb0fe862c7211b9"/>
    <w:p>
      <w:pPr>
        <w:pStyle w:val="Heading3"/>
      </w:pPr>
      <w:r>
        <w:t xml:space="preserve">3.4 Field mapping from legacy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1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Legacy (table.column)</w:t>
            </w:r>
          </w:p>
        </w:tc>
        <w:tc>
          <w:tcPr>
            <w:shd w:val="clear" w:color="auto" w:fill="D9E1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New (table.column)</w:t>
            </w:r>
          </w:p>
        </w:tc>
        <w:tc>
          <w:tcPr>
            <w:shd w:val="clear" w:color="auto" w:fill="D9E1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Change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PROV.PROV_NPI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provider.npi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Rename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PROV.PROV_NM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provider.provider_name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Rename; mixed case instead of upper case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PROV.PROV_ST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provider.state_code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Rename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CLM.CLM_ID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claim.claim_id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Rename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CLM.BENE_ID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claim.beneficiary_id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Rename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CLM.BILL_TYP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facility_type_code, bill_classification_code, claim_frequency_code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One 3-character code split into three fields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CLM.SVC_FROM_DT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claim.service_from_date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Text YYYYMMDD → DATE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CLM.SVC_THRU_DT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claim.service_through_date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Text YYYYMMDD → DATE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CLM.RCVD_DT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claim.received_date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Text YYYYMMDD → DATE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CLM.CLM_CHRG_AMT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claim.billed_amount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Rename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CLM.CLM_ALWD_AMT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claim.allowed_amount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Rename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CLM.PT_RESP_AMT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deductible_amount + coinsurance_amount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One amount split into two components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CLM.CLM_STS_CD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claim.status_code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Rename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STS (table)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claim_status (table)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Adds is_payable flag</w:t>
            </w:r>
          </w:p>
        </w:tc>
      </w:tr>
    </w:tbl>
    <w:bookmarkEnd w:id="25"/>
    <w:bookmarkEnd w:id="26"/>
    <w:bookmarkStart w:id="27" w:name="Xab27fa3b58189846eca9cd554fb44874974c3d6"/>
    <w:p>
      <w:pPr>
        <w:pStyle w:val="Heading2"/>
      </w:pPr>
      <w:r>
        <w:t xml:space="preserve">4. Calculated columns (claim level)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1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Column</w:t>
            </w:r>
          </w:p>
        </w:tc>
        <w:tc>
          <w:tcPr>
            <w:shd w:val="clear" w:color="auto" w:fill="D9E1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Rule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claim_category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Inpatient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when facility_type_code = '1' and bill_classification_code = '1';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Outpatient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when facility_type_code = '1' and bill_classification_code = '3'; otherwise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Other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patient_responsibility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deductible_amount + coinsurance_amount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provider_paid_amount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allowed_amount − patient_responsibility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days_to_receive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received_date − service_through_date, in whole days. Null when received_date is null.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timely_filing_flag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LATE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when days_to_receive &gt; timely filing limit (config, default 365);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ON_TIME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otherwise; null when days_to_receive is null.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report_month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Month of service_from_date, formatted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YYYY-MM</w:t>
            </w:r>
            <w:r>
              <w:rPr>
                <w:sz w:val="18"/>
              </w:rPr>
              <w:t xml:space="preserve">.</w:t>
            </w:r>
          </w:p>
        </w:tc>
      </w:tr>
    </w:tbl>
    <w:bookmarkEnd w:id="27"/>
    <w:bookmarkStart w:id="28" w:name="X9dac990450b7ba03fc47ef970f67b2d6d5c5e3e"/>
    <w:p>
      <w:pPr>
        <w:pStyle w:val="Heading2"/>
      </w:pPr>
      <w:r>
        <w:t xml:space="preserve">5. Inclusion and exceptions</w:t>
      </w:r>
    </w:p>
    <w:p>
      <w:pPr>
        <w:pStyle w:val="FirstParagraph"/>
      </w:pPr>
      <w:r>
        <w:t xml:space="preserve">A claim is</w:t>
      </w:r>
      <w:r>
        <w:t xml:space="preserve"> </w:t>
      </w:r>
      <w:r>
        <w:rPr>
          <w:bCs/>
          <w:b/>
        </w:rPr>
        <w:t xml:space="preserve">included</w:t>
      </w:r>
      <w:r>
        <w:t xml:space="preserve"> </w:t>
      </w:r>
      <w:r>
        <w:t xml:space="preserve">in the report only if it has a received date, its status is payable (</w:t>
      </w:r>
      <w:r>
        <w:rPr>
          <w:rStyle w:val="VerbatimChar"/>
        </w:rPr>
        <w:t xml:space="preserve">is_payable = 'Y'</w:t>
      </w:r>
      <w:r>
        <w:t xml:space="preserve">), and it is not late.</w:t>
      </w:r>
    </w:p>
    <w:p>
      <w:pPr>
        <w:pStyle w:val="BodyText"/>
      </w:pPr>
      <w:r>
        <w:t xml:space="preserve">Every other claim is written to</w:t>
      </w:r>
      <w:r>
        <w:t xml:space="preserve"> </w:t>
      </w:r>
      <w:r>
        <w:rPr>
          <w:rStyle w:val="VerbatimChar"/>
        </w:rPr>
        <w:t xml:space="preserve">claim_exceptions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exactly one</w:t>
      </w:r>
      <w:r>
        <w:t xml:space="preserve"> </w:t>
      </w:r>
      <w:r>
        <w:t xml:space="preserve">reason. When more than one applies, use the first in this priority order: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MISSING_RECEIVED_DATE</w:t>
      </w:r>
      <w:r>
        <w:t xml:space="preserve">: received_date is null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NOT_PAYABLE</w:t>
      </w:r>
      <w:r>
        <w:t xml:space="preserve">: claim_status.is_payable is not 'Y'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LATE_FILING</w:t>
      </w:r>
      <w:r>
        <w:t xml:space="preserve">: timely_filing_flag = 'LATE'</w:t>
      </w:r>
    </w:p>
    <w:p>
      <w:pPr>
        <w:pStyle w:val="FirstParagraph"/>
      </w:pPr>
      <w:r>
        <w:t xml:space="preserve">No claim may be dropped silently: included + exceptions must equal the input claim count.</w:t>
      </w:r>
    </w:p>
    <w:bookmarkEnd w:id="28"/>
    <w:bookmarkStart w:id="33" w:name="Xe45abb736f0cc310662662167ca88016d0c6f63"/>
    <w:p>
      <w:pPr>
        <w:pStyle w:val="Heading2"/>
      </w:pPr>
      <w:r>
        <w:t xml:space="preserve">6. Output tables</w:t>
      </w:r>
    </w:p>
    <w:bookmarkStart w:id="29" w:name="X12fb0f1a633c03a0d01c7d56a9e1b16944431eb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claim_detail</w:t>
      </w:r>
      <w:r>
        <w:t xml:space="preserve"> </w:t>
      </w:r>
      <w:r>
        <w:t xml:space="preserve">(one row per included claim, sorted by claim_id)</w:t>
      </w:r>
    </w:p>
    <w:p>
      <w:pPr>
        <w:pStyle w:val="FirstParagraph"/>
      </w:pPr>
      <w:r>
        <w:t xml:space="preserve">claim_id, npi, beneficiary_id, report_month, claim_category, service_from_date, service_through_date, received_date, billed_amount, allowed_amount, deductible_amount, coinsurance_amount, patient_responsibility, provider_paid_amount, days_to_receive, timely_filing_flag</w:t>
      </w:r>
    </w:p>
    <w:bookmarkEnd w:id="29"/>
    <w:bookmarkStart w:id="30" w:name="X9a51906ad4761a12079489159cdde1fdad1fe5a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provider_monthly_summary</w:t>
      </w:r>
      <w:r>
        <w:t xml:space="preserve"> </w:t>
      </w:r>
      <w:r>
        <w:t xml:space="preserve">(sorted by npi, report_month, claim_category)</w:t>
      </w:r>
    </w:p>
    <w:p>
      <w:pPr>
        <w:pStyle w:val="FirstParagraph"/>
      </w:pPr>
      <w:r>
        <w:t xml:space="preserve">Grouped by npi, provider_name, state_code, report_month and claim_category.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1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Column</w:t>
            </w:r>
          </w:p>
        </w:tc>
        <w:tc>
          <w:tcPr>
            <w:shd w:val="clear" w:color="auto" w:fill="D9E1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Rule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npi, provider_name, state_code, report_month, claim_category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Group keys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claim_count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Number of included claims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total_billed_amount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Sum of billed_amount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total_allowed_amount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Sum of allowed_amount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total_patient_responsibility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Sum of patient_responsibility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total_provider_paid_amount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Sum of provider_paid_amount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payment_rate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total_provider_paid_amount ÷ total_billed_amount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avg_days_to_receive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Mean of days_to_receive</w:t>
            </w:r>
          </w:p>
        </w:tc>
      </w:tr>
    </w:tbl>
    <w:bookmarkEnd w:id="30"/>
    <w:bookmarkStart w:id="31" w:name="X0a67845b7e9a1b5a857092597415557fa345993"/>
    <w:p>
      <w:pPr>
        <w:pStyle w:val="Heading3"/>
      </w:pPr>
      <w:r>
        <w:t xml:space="preserve">6.3</w:t>
      </w:r>
      <w:r>
        <w:t xml:space="preserve"> </w:t>
      </w:r>
      <w:r>
        <w:rPr>
          <w:rStyle w:val="VerbatimChar"/>
        </w:rPr>
        <w:t xml:space="preserve">claim_exceptions</w:t>
      </w:r>
      <w:r>
        <w:t xml:space="preserve"> </w:t>
      </w:r>
      <w:r>
        <w:t xml:space="preserve">(one row per excluded claim, sorted by claim_id)</w:t>
      </w:r>
    </w:p>
    <w:p>
      <w:pPr>
        <w:pStyle w:val="FirstParagraph"/>
      </w:pPr>
      <w:r>
        <w:t xml:space="preserve">claim_id, npi, status_code, days_to_receive, timely_filing_flag, exception_reason, run_timestamp (UTC, ISO-8601)</w:t>
      </w:r>
    </w:p>
    <w:bookmarkEnd w:id="31"/>
    <w:bookmarkStart w:id="32" w:name="Xbfdaade372e41d01dc2fd74539014eeb7587b26"/>
    <w:p>
      <w:pPr>
        <w:pStyle w:val="Heading3"/>
      </w:pPr>
      <w:r>
        <w:t xml:space="preserve">6.4 Rounding</w:t>
      </w:r>
    </w:p>
    <w:p>
      <w:pPr>
        <w:pStyle w:val="FirstParagraph"/>
      </w:pPr>
      <w:r>
        <w:t xml:space="preserve">Amounts to 2 decimals, payment_rate to 4 decimals, avg_days_to_receive to 1 decimal. Dates in outputs as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.</w:t>
      </w:r>
    </w:p>
    <w:bookmarkEnd w:id="32"/>
    <w:bookmarkEnd w:id="33"/>
    <w:bookmarkStart w:id="34" w:name="Xce5108e3db676ff5109a79090b66bb9a5ff321e"/>
    <w:p>
      <w:pPr>
        <w:pStyle w:val="Heading2"/>
      </w:pPr>
      <w:r>
        <w:t xml:space="preserve">7. Engineering standards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Structure:</w:t>
      </w:r>
      <w:r>
        <w:t xml:space="preserve"> </w:t>
      </w:r>
      <w:r>
        <w:t xml:space="preserve">separate extract, validate, transform and load steps as functions; single entry point runnable from the command line with a</w:t>
      </w:r>
      <w:r>
        <w:t xml:space="preserve"> </w:t>
      </w:r>
      <w:r>
        <w:rPr>
          <w:rStyle w:val="VerbatimChar"/>
        </w:rPr>
        <w:t xml:space="preserve">--config</w:t>
      </w:r>
      <w:r>
        <w:t xml:space="preserve"> </w:t>
      </w:r>
      <w:r>
        <w:t xml:space="preserve">argument.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Configuration:</w:t>
      </w:r>
      <w:r>
        <w:t xml:space="preserve"> </w:t>
      </w:r>
      <w:r>
        <w:t xml:space="preserve">source path, output paths, timely filing limit, rounding and category mapping come from the YAML config.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Validation (fail fast):</w:t>
      </w:r>
      <w:r>
        <w:t xml:space="preserve"> </w:t>
      </w:r>
      <w:r>
        <w:t xml:space="preserve">stop the run with a clear error, writing nothing, if required columns are missing, claim_id is duplicated, a claim references an unknown npi or status_code, any amount is negative, or service_through_date is earlier than service_from_date.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Logging:</w:t>
      </w:r>
      <w:r>
        <w:t xml:space="preserve"> </w:t>
      </w:r>
      <w:r>
        <w:t xml:space="preserve">Python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; log row counts after extract, after validation, included vs excluded (by reason) and rows written per table.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Reconciliation:</w:t>
      </w:r>
      <w:r>
        <w:t xml:space="preserve"> </w:t>
      </w:r>
      <w:r>
        <w:t xml:space="preserve">assert included + exceptions = input claims, and sum of claim_count = claim_detail rows.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Tests:</w:t>
      </w:r>
      <w:r>
        <w:t xml:space="preserve"> </w:t>
      </w:r>
      <w:r>
        <w:t xml:space="preserve">unit tests for every calculated column, the 365/366-day boundary, exception priority, reconciliation and each validation rule.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Code style:</w:t>
      </w:r>
      <w:r>
        <w:t xml:space="preserve"> </w:t>
      </w:r>
      <w:r>
        <w:t xml:space="preserve">PEP 8, type hints on public functions, docstrings on modules and functions.</w:t>
      </w:r>
    </w:p>
    <w:bookmarkEnd w:id="34"/>
    <w:bookmarkStart w:id="35" w:name="Xd0a26a36753df6cb99b1f09f582f0643d738056"/>
    <w:p>
      <w:pPr>
        <w:pStyle w:val="Heading2"/>
      </w:pPr>
      <w:r>
        <w:t xml:space="preserve">8. Required deliverables from the migration</w:t>
      </w:r>
    </w:p>
    <w:p>
      <w:pPr>
        <w:numPr>
          <w:ilvl w:val="0"/>
          <w:numId w:val="1003"/>
        </w:numPr>
        <w:pStyle w:val="Compact"/>
      </w:pPr>
      <w:r>
        <w:t xml:space="preserve">Pipeline code, config file and pytest suite meeting sections 2–7.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Rules inventory:</w:t>
      </w:r>
      <w:r>
        <w:t xml:space="preserve"> </w:t>
      </w:r>
      <w:r>
        <w:t xml:space="preserve">every business rule found in the legacy job, with the legacy line(s) it came from.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Behavior-change log:</w:t>
      </w:r>
      <w:r>
        <w:t xml:space="preserve"> </w:t>
      </w:r>
      <w:r>
        <w:t xml:space="preserve">every case where the new pipeline behaves differently from the legacy job, with the reason (specification change, legacy defect or ambiguity).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Open questions:</w:t>
      </w:r>
      <w:r>
        <w:t xml:space="preserve"> </w:t>
      </w:r>
      <w:r>
        <w:t xml:space="preserve">anything in the legacy code that is ambiguous or looks unintended, flagged for SME review rather than assumed.</w:t>
      </w:r>
    </w:p>
    <w:p>
      <w:pPr>
        <w:numPr>
          <w:ilvl w:val="0"/>
          <w:numId w:val="1003"/>
        </w:numPr>
        <w:pStyle w:val="Compact"/>
      </w:pPr>
      <w:r>
        <w:t xml:space="preserve">Run evidence: test results and output row counts.</w:t>
      </w:r>
    </w:p>
    <w:bookmarkEnd w:id="35"/>
    <w:bookmarkEnd w:id="36"/>
    <w:sectPr>
      <w:pgSz w:w="12240" w:h="15840"/>
      <w:pgMar w:left="1296" w:right="1296" w:top="1296" w:bottom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cs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cs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cs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hAnsi="Arial" w:cs="Arial" w:eastAsia="Arial"/>
      <w:b/>
      <w:bCs/>
      <w:color w:val="1F3A5F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 w:cs="Arial" w:eastAsia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rFonts w:ascii="Arial" w:hAnsi="Arial" w:cs="Arial" w:eastAsia="Arial"/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 w:cs="Arial" w:eastAsia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 w:cs="Arial" w:eastAsia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hAnsi="Arial" w:cs="Arial" w:eastAsia="Arial"/>
      <w:b/>
      <w:bCs/>
      <w:color w:val="1F3A5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hAnsi="Arial" w:cs="Arial" w:eastAsia="Arial"/>
      <w:b/>
      <w:bCs/>
      <w:color w:val="1F3A5F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hAnsi="Arial" w:cs="Arial" w:eastAsia="Arial"/>
      <w:b/>
      <w:bCs/>
      <w:color w:val="1F3A5F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hAnsi="Arial" w:cs="Arial" w:eastAsia="Arial"/>
      <w:i/>
      <w:bCs/>
      <w:color w:val="1F3A5F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hAnsi="Arial" w:cs="Arial" w:eastAsia="Arial"/>
      <w:iCs/>
      <w:color w:val="1F3A5F"/>
      <w:sz w:val="22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hAnsi="Arial" w:cs="Arial" w:eastAsia="Arial"/>
      <w:color w:val="1F3A5F"/>
      <w:sz w:val="22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hAnsi="Arial" w:cs="Arial" w:eastAsia="Arial"/>
      <w:color w:val="1F3A5F"/>
      <w:sz w:val="22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hAnsi="Arial" w:cs="Arial" w:eastAsia="Arial"/>
      <w:color w:val="1F3A5F"/>
      <w:sz w:val="22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hAnsi="Arial" w:cs="Arial" w:eastAsia="Arial"/>
      <w:color w:val="1F3A5F"/>
      <w:sz w:val="22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 w:cs="Arial" w:eastAsia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 w:cs="Arial" w:eastAsia="Arial"/>
    </w:rPr>
  </w:style>
  <w:style w:default="1" w:styleId="DefaultParagraphFont" w:type="character">
    <w:name w:val="Default Paragraph Font"/>
    <w:semiHidden/>
    <w:unhideWhenUsed/>
    <w:rPr>
      <w:rFonts w:ascii="Arial" w:hAnsi="Arial" w:cs="Arial" w:eastAsia="Arial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 w:cs="Arial" w:eastAsia="Arial"/>
      <w:b/>
    </w:rPr>
  </w:style>
  <w:style w:customStyle="1" w:styleId="Definition" w:type="paragraph">
    <w:name w:val="Definition"/>
    <w:basedOn w:val="Normal"/>
    <w:rPr>
      <w:rFonts w:ascii="Arial" w:hAnsi="Arial" w:cs="Arial" w:eastAsia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 w:cs="Arial" w:eastAsia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 w:cs="Arial" w:eastAsia="Arial"/>
    </w:rPr>
  </w:style>
  <w:style w:customStyle="1" w:styleId="ImageCaption" w:type="paragraph">
    <w:name w:val="Image Caption"/>
    <w:basedOn w:val="Caption"/>
    <w:rPr>
      <w:rFonts w:ascii="Arial" w:hAnsi="Arial" w:cs="Arial" w:eastAsia="Arial"/>
    </w:rPr>
  </w:style>
  <w:style w:customStyle="1" w:styleId="Figure" w:type="paragraph">
    <w:name w:val="Figure"/>
    <w:basedOn w:val="Normal"/>
    <w:rPr>
      <w:rFonts w:ascii="Arial" w:hAnsi="Arial" w:cs="Arial" w:eastAsia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 w:cs="Arial" w:eastAsia="Arial"/>
    </w:rPr>
  </w:style>
  <w:style w:customStyle="1" w:styleId="BodyTextChar" w:type="character">
    <w:name w:val="Body Text Char"/>
    <w:basedOn w:val="DefaultParagraphFont"/>
    <w:link w:val="BodyText"/>
    <w:rPr>
      <w:rFonts w:ascii="Arial" w:hAnsi="Arial" w:cs="Arial" w:eastAsia="Arial"/>
    </w:rPr>
  </w:style>
  <w:style w:customStyle="1" w:styleId="VerbatimChar" w:type="character">
    <w:name w:val="Verbatim Char"/>
    <w:basedOn w:val="BodyTextChar"/>
    <w:rPr>
      <w:rFonts w:ascii="Consolas" w:hAnsi="Consolas" w:cs="Consolas" w:eastAsia="Consolas"/>
      <w:sz w:val="18"/>
    </w:rPr>
  </w:style>
  <w:style w:customStyle="1" w:styleId="SectionNumber" w:type="character">
    <w:name w:val="Section Number"/>
    <w:basedOn w:val="BodyTextChar"/>
    <w:rPr>
      <w:rFonts w:ascii="Arial" w:hAnsi="Arial" w:cs="Arial" w:eastAsia="Arial"/>
    </w:rPr>
  </w:style>
  <w:style w:styleId="FootnoteReference" w:type="character">
    <w:name w:val="Footnote Reference"/>
    <w:basedOn w:val="BodyTextChar"/>
    <w:rPr>
      <w:rFonts w:ascii="Arial" w:hAnsi="Arial" w:cs="Arial" w:eastAsia="Arial"/>
      <w:vertAlign w:val="superscript"/>
    </w:rPr>
  </w:style>
  <w:style w:styleId="Hyperlink" w:type="character">
    <w:name w:val="Hyperlink"/>
    <w:basedOn w:val="BodyTextChar"/>
    <w:rPr>
      <w:rFonts w:ascii="Arial" w:hAnsi="Arial" w:cs="Arial" w:eastAsia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cs="Arial" w:eastAsia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cs="Consolas" w:eastAsia="Consolas"/>
      <w:sz w:val="18"/>
    </w:rPr>
  </w:style>
  <w:style w:type="character" w:customStyle="1" w:styleId="KeywordTok">
    <w:name w:val="KeywordTok"/>
    <w:basedOn w:val="VerbatimChar"/>
    <w:rPr>
      <w:rFonts w:ascii="Arial" w:hAnsi="Arial" w:cs="Arial" w:eastAsia="Arial"/>
      <w:color w:val="007020"/>
      <w:b/>
    </w:rPr>
  </w:style>
  <w:style w:type="character" w:customStyle="1" w:styleId="DataTypeTok">
    <w:name w:val="DataTypeTok"/>
    <w:basedOn w:val="VerbatimChar"/>
    <w:rPr>
      <w:rFonts w:ascii="Arial" w:hAnsi="Arial" w:cs="Arial" w:eastAsia="Arial"/>
      <w:color w:val="902000"/>
    </w:rPr>
  </w:style>
  <w:style w:type="character" w:customStyle="1" w:styleId="DecValTok">
    <w:name w:val="DecValTok"/>
    <w:basedOn w:val="VerbatimChar"/>
    <w:rPr>
      <w:rFonts w:ascii="Arial" w:hAnsi="Arial" w:cs="Arial" w:eastAsia="Arial"/>
      <w:color w:val="40a070"/>
    </w:rPr>
  </w:style>
  <w:style w:type="character" w:customStyle="1" w:styleId="BaseNTok">
    <w:name w:val="BaseNTok"/>
    <w:basedOn w:val="VerbatimChar"/>
    <w:rPr>
      <w:rFonts w:ascii="Arial" w:hAnsi="Arial" w:cs="Arial" w:eastAsia="Arial"/>
      <w:color w:val="40a070"/>
    </w:rPr>
  </w:style>
  <w:style w:type="character" w:customStyle="1" w:styleId="FloatTok">
    <w:name w:val="FloatTok"/>
    <w:basedOn w:val="VerbatimChar"/>
    <w:rPr>
      <w:rFonts w:ascii="Arial" w:hAnsi="Arial" w:cs="Arial" w:eastAsia="Arial"/>
      <w:color w:val="40a070"/>
    </w:rPr>
  </w:style>
  <w:style w:type="character" w:customStyle="1" w:styleId="ConstantTok">
    <w:name w:val="ConstantTok"/>
    <w:basedOn w:val="VerbatimChar"/>
    <w:rPr>
      <w:rFonts w:ascii="Arial" w:hAnsi="Arial" w:cs="Arial" w:eastAsia="Arial"/>
      <w:color w:val="880000"/>
    </w:rPr>
  </w:style>
  <w:style w:type="character" w:customStyle="1" w:styleId="CharTok">
    <w:name w:val="CharTok"/>
    <w:basedOn w:val="VerbatimChar"/>
    <w:rPr>
      <w:rFonts w:ascii="Arial" w:hAnsi="Arial" w:cs="Arial" w:eastAsia="Arial"/>
      <w:color w:val="4070a0"/>
    </w:rPr>
  </w:style>
  <w:style w:type="character" w:customStyle="1" w:styleId="SpecialCharTok">
    <w:name w:val="SpecialCharTok"/>
    <w:basedOn w:val="VerbatimChar"/>
    <w:rPr>
      <w:rFonts w:ascii="Arial" w:hAnsi="Arial" w:cs="Arial" w:eastAsia="Arial"/>
      <w:color w:val="4070a0"/>
    </w:rPr>
  </w:style>
  <w:style w:type="character" w:customStyle="1" w:styleId="StringTok">
    <w:name w:val="StringTok"/>
    <w:basedOn w:val="VerbatimChar"/>
    <w:rPr>
      <w:rFonts w:ascii="Arial" w:hAnsi="Arial" w:cs="Arial" w:eastAsia="Arial"/>
      <w:color w:val="4070a0"/>
    </w:rPr>
  </w:style>
  <w:style w:type="character" w:customStyle="1" w:styleId="VerbatimStringTok">
    <w:name w:val="VerbatimStringTok"/>
    <w:basedOn w:val="VerbatimChar"/>
    <w:rPr>
      <w:rFonts w:ascii="Arial" w:hAnsi="Arial" w:cs="Arial" w:eastAsia="Arial"/>
      <w:color w:val="4070a0"/>
    </w:rPr>
  </w:style>
  <w:style w:type="character" w:customStyle="1" w:styleId="SpecialStringTok">
    <w:name w:val="SpecialStringTok"/>
    <w:basedOn w:val="VerbatimChar"/>
    <w:rPr>
      <w:rFonts w:ascii="Arial" w:hAnsi="Arial" w:cs="Arial" w:eastAsia="Arial"/>
      <w:color w:val="bb6688"/>
    </w:rPr>
  </w:style>
  <w:style w:type="character" w:customStyle="1" w:styleId="ImportTok">
    <w:name w:val="ImportTok"/>
    <w:basedOn w:val="VerbatimChar"/>
    <w:rPr>
      <w:rFonts w:ascii="Arial" w:hAnsi="Arial" w:cs="Arial" w:eastAsia="Arial"/>
      <w:color w:val="008000"/>
      <w:b/>
    </w:rPr>
  </w:style>
  <w:style w:type="character" w:customStyle="1" w:styleId="CommentTok">
    <w:name w:val="CommentTok"/>
    <w:basedOn w:val="VerbatimChar"/>
    <w:rPr>
      <w:rFonts w:ascii="Arial" w:hAnsi="Arial" w:cs="Arial" w:eastAsia="Arial"/>
      <w:color w:val="60a0b0"/>
      <w:i/>
    </w:rPr>
  </w:style>
  <w:style w:type="character" w:customStyle="1" w:styleId="DocumentationTok">
    <w:name w:val="DocumentationTok"/>
    <w:basedOn w:val="VerbatimChar"/>
    <w:rPr>
      <w:rFonts w:ascii="Arial" w:hAnsi="Arial" w:cs="Arial" w:eastAsia="Arial"/>
      <w:color w:val="ba2121"/>
      <w:i/>
    </w:rPr>
  </w:style>
  <w:style w:type="character" w:customStyle="1" w:styleId="AnnotationTok">
    <w:name w:val="AnnotationTok"/>
    <w:basedOn w:val="VerbatimChar"/>
    <w:rPr>
      <w:rFonts w:ascii="Arial" w:hAnsi="Arial" w:cs="Arial" w:eastAsia="Arial"/>
      <w:color w:val="60a0b0"/>
      <w:b/>
      <w:i/>
    </w:rPr>
  </w:style>
  <w:style w:type="character" w:customStyle="1" w:styleId="CommentVarTok">
    <w:name w:val="CommentVarTok"/>
    <w:basedOn w:val="VerbatimChar"/>
    <w:rPr>
      <w:rFonts w:ascii="Arial" w:hAnsi="Arial" w:cs="Arial" w:eastAsia="Arial"/>
      <w:color w:val="60a0b0"/>
      <w:b/>
      <w:i/>
    </w:rPr>
  </w:style>
  <w:style w:type="character" w:customStyle="1" w:styleId="OtherTok">
    <w:name w:val="OtherTok"/>
    <w:basedOn w:val="VerbatimChar"/>
    <w:rPr>
      <w:rFonts w:ascii="Arial" w:hAnsi="Arial" w:cs="Arial" w:eastAsia="Arial"/>
      <w:color w:val="007020"/>
    </w:rPr>
  </w:style>
  <w:style w:type="character" w:customStyle="1" w:styleId="FunctionTok">
    <w:name w:val="FunctionTok"/>
    <w:basedOn w:val="VerbatimChar"/>
    <w:rPr>
      <w:rFonts w:ascii="Arial" w:hAnsi="Arial" w:cs="Arial" w:eastAsia="Arial"/>
      <w:color w:val="06287e"/>
    </w:rPr>
  </w:style>
  <w:style w:type="character" w:customStyle="1" w:styleId="VariableTok">
    <w:name w:val="VariableTok"/>
    <w:basedOn w:val="VerbatimChar"/>
    <w:rPr>
      <w:rFonts w:ascii="Arial" w:hAnsi="Arial" w:cs="Arial" w:eastAsia="Arial"/>
      <w:color w:val="19177c"/>
    </w:rPr>
  </w:style>
  <w:style w:type="character" w:customStyle="1" w:styleId="ControlFlowTok">
    <w:name w:val="ControlFlowTok"/>
    <w:basedOn w:val="VerbatimChar"/>
    <w:rPr>
      <w:rFonts w:ascii="Arial" w:hAnsi="Arial" w:cs="Arial" w:eastAsia="Arial"/>
      <w:color w:val="007020"/>
      <w:b/>
    </w:rPr>
  </w:style>
  <w:style w:type="character" w:customStyle="1" w:styleId="OperatorTok">
    <w:name w:val="OperatorTok"/>
    <w:basedOn w:val="VerbatimChar"/>
    <w:rPr>
      <w:rFonts w:ascii="Arial" w:hAnsi="Arial" w:cs="Arial" w:eastAsia="Arial"/>
      <w:color w:val="666666"/>
    </w:rPr>
  </w:style>
  <w:style w:type="character" w:customStyle="1" w:styleId="BuiltInTok">
    <w:name w:val="BuiltInTok"/>
    <w:basedOn w:val="VerbatimChar"/>
    <w:rPr>
      <w:rFonts w:ascii="Arial" w:hAnsi="Arial" w:cs="Arial" w:eastAsia="Arial"/>
      <w:color w:val="008000"/>
    </w:rPr>
  </w:style>
  <w:style w:type="character" w:customStyle="1" w:styleId="ExtensionTok">
    <w:name w:val="ExtensionTok"/>
    <w:basedOn w:val="VerbatimChar"/>
    <w:rPr>
      <w:rFonts w:ascii="Arial" w:hAnsi="Arial" w:cs="Arial" w:eastAsia="Arial"/>
    </w:rPr>
  </w:style>
  <w:style w:type="character" w:customStyle="1" w:styleId="PreprocessorTok">
    <w:name w:val="PreprocessorTok"/>
    <w:basedOn w:val="VerbatimChar"/>
    <w:rPr>
      <w:rFonts w:ascii="Arial" w:hAnsi="Arial" w:cs="Arial" w:eastAsia="Arial"/>
      <w:color w:val="bc7a00"/>
    </w:rPr>
  </w:style>
  <w:style w:type="character" w:customStyle="1" w:styleId="AttributeTok">
    <w:name w:val="AttributeTok"/>
    <w:basedOn w:val="VerbatimChar"/>
    <w:rPr>
      <w:rFonts w:ascii="Arial" w:hAnsi="Arial" w:cs="Arial" w:eastAsia="Arial"/>
      <w:color w:val="7d9029"/>
    </w:rPr>
  </w:style>
  <w:style w:type="character" w:customStyle="1" w:styleId="RegionMarkerTok">
    <w:name w:val="RegionMarkerTok"/>
    <w:basedOn w:val="VerbatimChar"/>
    <w:rPr>
      <w:rFonts w:ascii="Arial" w:hAnsi="Arial" w:cs="Arial" w:eastAsia="Arial"/>
    </w:rPr>
  </w:style>
  <w:style w:type="character" w:customStyle="1" w:styleId="InformationTok">
    <w:name w:val="InformationTok"/>
    <w:basedOn w:val="VerbatimChar"/>
    <w:rPr>
      <w:rFonts w:ascii="Arial" w:hAnsi="Arial" w:cs="Arial" w:eastAsia="Arial"/>
      <w:color w:val="60a0b0"/>
      <w:b/>
      <w:i/>
    </w:rPr>
  </w:style>
  <w:style w:type="character" w:customStyle="1" w:styleId="WarningTok">
    <w:name w:val="WarningTok"/>
    <w:basedOn w:val="VerbatimChar"/>
    <w:rPr>
      <w:rFonts w:ascii="Arial" w:hAnsi="Arial" w:cs="Arial" w:eastAsia="Arial"/>
      <w:color w:val="60a0b0"/>
      <w:b/>
      <w:i/>
    </w:rPr>
  </w:style>
  <w:style w:type="character" w:customStyle="1" w:styleId="AlertTok">
    <w:name w:val="AlertTok"/>
    <w:basedOn w:val="VerbatimChar"/>
    <w:rPr>
      <w:rFonts w:ascii="Arial" w:hAnsi="Arial" w:cs="Arial" w:eastAsia="Arial"/>
      <w:color w:val="ff0000"/>
      <w:b/>
    </w:rPr>
  </w:style>
  <w:style w:type="character" w:customStyle="1" w:styleId="ErrorTok">
    <w:name w:val="ErrorTok"/>
    <w:basedOn w:val="VerbatimChar"/>
    <w:rPr>
      <w:rFonts w:ascii="Arial" w:hAnsi="Arial" w:cs="Arial" w:eastAsia="Arial"/>
      <w:color w:val="ff0000"/>
      <w:b/>
    </w:rPr>
  </w:style>
  <w:style w:type="character" w:customStyle="1" w:styleId="NormalTok">
    <w:name w:val="NormalTok"/>
    <w:basedOn w:val="VerbatimChar"/>
    <w:rPr>
      <w:rFonts w:ascii="Arial" w:hAnsi="Arial" w:cs="Arial" w:eastAsia="Arial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DD52127A762D4EB396E05FE70C2D90" ma:contentTypeVersion="19" ma:contentTypeDescription="Create a new document." ma:contentTypeScope="" ma:versionID="ccb2dfe3cae98d2cc0b054e3301e49ca">
  <xsd:schema xmlns:xsd="http://www.w3.org/2001/XMLSchema" xmlns:xs="http://www.w3.org/2001/XMLSchema" xmlns:p="http://schemas.microsoft.com/office/2006/metadata/properties" xmlns:ns2="d937ddcf-28a9-4ba9-bcf9-e3d478b67dac" xmlns:ns3="b74780b5-c0ca-4a67-be2e-299fa4347612" targetNamespace="http://schemas.microsoft.com/office/2006/metadata/properties" ma:root="true" ma:fieldsID="5ca630fb52e657ee270d523013634425" ns2:_="" ns3:_="">
    <xsd:import namespace="d937ddcf-28a9-4ba9-bcf9-e3d478b67dac"/>
    <xsd:import namespace="b74780b5-c0ca-4a67-be2e-299fa43476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37ddcf-28a9-4ba9-bcf9-e3d478b67d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d0b822c-f0c6-4196-bc27-b30ffbe23f1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4780b5-c0ca-4a67-be2e-299fa4347612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3e425ba-6392-48fe-a684-474952e7df36}" ma:internalName="TaxCatchAll" ma:showField="CatchAllData" ma:web="b74780b5-c0ca-4a67-be2e-299fa43476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37ddcf-28a9-4ba9-bcf9-e3d478b67dac">
      <Terms xmlns="http://schemas.microsoft.com/office/infopath/2007/PartnerControls"/>
    </lcf76f155ced4ddcb4097134ff3c332f>
    <TaxCatchAll xmlns="b74780b5-c0ca-4a67-be2e-299fa4347612" xsi:nil="true"/>
  </documentManagement>
</p:properties>
</file>

<file path=customXml/itemProps1.xml><?xml version="1.0" encoding="utf-8"?>
<ds:datastoreItem xmlns:ds="http://schemas.openxmlformats.org/officeDocument/2006/customXml" ds:itemID="{5C52C88A-0EA0-4D38-BA56-714F4D16AA69}"/>
</file>

<file path=customXml/itemProps2.xml><?xml version="1.0" encoding="utf-8"?>
<ds:datastoreItem xmlns:ds="http://schemas.openxmlformats.org/officeDocument/2006/customXml" ds:itemID="{4ED49D0A-191C-437C-BA4E-66D1AF075CB8}"/>
</file>

<file path=customXml/itemProps3.xml><?xml version="1.0" encoding="utf-8"?>
<ds:datastoreItem xmlns:ds="http://schemas.openxmlformats.org/officeDocument/2006/customXml" ds:itemID="{C4C716E7-9EE7-441B-B580-2D63C35243BE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Target Specification - Provider Monthly Claim Summary</dc:title>
  <dc:creator/>
  <cp:keywords/>
  <dcterms:created xsi:type="dcterms:W3CDTF">2026-09-28T19:14:07Z</dcterms:created>
  <dcterms:modified xsi:type="dcterms:W3CDTF">2026-09-28T19:14:07Z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0x010100AFDD52127A762D4EB396E05FE70C2D90</vt:lpwstr>
  </property>
</Properties>
</file>