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6f51cd45961f82b3a7403f76f8f0c2f82e0a8df"/>
    <w:p>
      <w:pPr>
        <w:pStyle w:val="Heading1"/>
      </w:pPr>
      <w:r>
        <w:t xml:space="preserve">Resolving Entra group membership inside Azure SQL</w:t>
      </w:r>
    </w:p>
    <w:p>
      <w:pPr>
        <w:pStyle w:val="FirstParagraph"/>
      </w:pPr>
      <w:r>
        <w:t xml:space="preserve">A row references a Microsoft Entra security group, and the database has to determine</w:t>
      </w:r>
      <w:r>
        <w:t xml:space="preserve"> </w:t>
      </w:r>
      <w:r>
        <w:t xml:space="preserve">whether the person writing that row is a member of it. Row-level security is the</w:t>
      </w:r>
      <w:r>
        <w:t xml:space="preserve"> </w:t>
      </w:r>
      <w:r>
        <w:t xml:space="preserve">appropriate mechanism for that decision, but the decision depends on a fact the</w:t>
      </w:r>
      <w:r>
        <w:t xml:space="preserve"> </w:t>
      </w:r>
      <w:r>
        <w:t xml:space="preserve">database does not hold.</w:t>
      </w:r>
    </w:p>
    <w:p>
      <w:pPr>
        <w:pStyle w:val="BodyText"/>
      </w:pPr>
      <w:r>
        <w:t xml:space="preserve">The constraint that shapes the work is that Azure SQL cannot query Entra during a</w:t>
      </w:r>
      <w:r>
        <w:t xml:space="preserve"> </w:t>
      </w:r>
      <w:r>
        <w:t xml:space="preserve">statement. An RLS predicate is ordinary T-SQL and can only use what the database</w:t>
      </w:r>
      <w:r>
        <w:t xml:space="preserve"> </w:t>
      </w:r>
      <w:r>
        <w:t xml:space="preserve">already holds. The question is therefore not how to write the predicate, but how</w:t>
      </w:r>
      <w:r>
        <w:t xml:space="preserve"> </w:t>
      </w:r>
      <w:r>
        <w:t xml:space="preserve">group membership reaches the database before the query runs.</w:t>
      </w:r>
    </w:p>
    <w:p>
      <w:pPr>
        <w:pStyle w:val="BodyText"/>
      </w:pPr>
      <w:r>
        <w:t xml:space="preserve">We implemented all four approaches against a live Azure SQL database and measured</w:t>
      </w:r>
      <w:r>
        <w:t xml:space="preserve"> </w:t>
      </w:r>
      <w:r>
        <w:t xml:space="preserve">them.</w:t>
      </w:r>
    </w:p>
    <w:bookmarkStart w:id="20" w:name="what-we-tested"/>
    <w:p>
      <w:pPr>
        <w:pStyle w:val="Heading2"/>
      </w:pPr>
      <w:r>
        <w:t xml:space="preserve">What we tested</w:t>
      </w:r>
    </w:p>
    <w:p>
      <w:pPr>
        <w:pStyle w:val="FirstParagraph"/>
      </w:pPr>
      <w:r>
        <w:t xml:space="preserve">Azure SQL Basic tier at 5 DTU, the cheapest available. 100,000 rows across 2,000</w:t>
      </w:r>
      <w:r>
        <w:t xml:space="preserve"> </w:t>
      </w:r>
      <w:r>
        <w:t xml:space="preserve">projects, 4,004 group IDs, a test user in 250 groups. Entra-only authentication,</w:t>
      </w:r>
      <w:r>
        <w:t xml:space="preserve"> </w:t>
      </w:r>
      <w:r>
        <w:t xml:space="preserve">with the user's own token opening the connection.</w:t>
      </w:r>
    </w:p>
    <w:p>
      <w:pPr>
        <w:pStyle w:val="BodyText"/>
      </w:pPr>
      <w:r>
        <w:t xml:space="preserve">The implementation of option 1 carries seven enforcement tests that run on every</w:t>
      </w:r>
      <w:r>
        <w:t xml:space="preserve"> </w:t>
      </w:r>
      <w:r>
        <w:t xml:space="preserve">deploy and fail it if the policy is not doing its job:</w:t>
      </w:r>
    </w:p>
    <w:p>
      <w:pPr>
        <w:pStyle w:val="SourceCode"/>
      </w:pPr>
      <w:r>
        <w:rPr>
          <w:rStyle w:val="VerbatimChar"/>
        </w:rPr>
        <w:t xml:space="preserve">PASS  1. A user in no groups still reads all 100002 lines.</w:t>
      </w:r>
      <w:r>
        <w:br/>
      </w:r>
      <w:r>
        <w:rPr>
          <w:rStyle w:val="VerbatimChar"/>
        </w:rPr>
        <w:t xml:space="preserve">PASS  2. Member of the write group inserted into project 12345678.</w:t>
      </w:r>
      <w:r>
        <w:br/>
      </w:r>
      <w:r>
        <w:rPr>
          <w:rStyle w:val="VerbatimChar"/>
        </w:rPr>
        <w:t xml:space="preserve">PASS  3. A user outside the write group was blocked from inserting.</w:t>
      </w:r>
      <w:r>
        <w:br/>
      </w:r>
      <w:r>
        <w:rPr>
          <w:rStyle w:val="VerbatimChar"/>
        </w:rPr>
        <w:t xml:space="preserve">PASS  4. Write access to one project did not grant it on another.</w:t>
      </w:r>
      <w:r>
        <w:br/>
      </w:r>
      <w:r>
        <w:rPr>
          <w:rStyle w:val="VerbatimChar"/>
        </w:rPr>
        <w:t xml:space="preserve">PASS  5. A row could not be moved into a project the user cannot write.</w:t>
      </w:r>
      <w:r>
        <w:br/>
      </w:r>
      <w:r>
        <w:rPr>
          <w:rStyle w:val="VerbatimChar"/>
        </w:rPr>
        <w:t xml:space="preserve">PASS  6. Security schema is not directly readable by the app role.</w:t>
      </w:r>
      <w:r>
        <w:br/>
      </w:r>
      <w:r>
        <w:rPr>
          <w:rStyle w:val="VerbatimChar"/>
        </w:rPr>
        <w:t xml:space="preserve">PASS  7. Deleting the membership row revoked write on the next statement.</w:t>
      </w:r>
    </w:p>
    <w:p>
      <w:pPr>
        <w:pStyle w:val="FirstParagraph"/>
      </w:pPr>
      <w:r>
        <w:t xml:space="preserve">Tests 5 and 7 cover the cases most often missed. Test 5 fails if the policy blocks</w:t>
      </w:r>
      <w:r>
        <w:t xml:space="preserve"> </w:t>
      </w:r>
      <w:r>
        <w:t xml:space="preserve">only inserts, because a user could otherwise move an existing row into a project</w:t>
      </w:r>
      <w:r>
        <w:t xml:space="preserve"> </w:t>
      </w:r>
      <w:r>
        <w:t xml:space="preserve">they do not hold. Test 7 confirms that revocation applies on the next statement,</w:t>
      </w:r>
      <w:r>
        <w:t xml:space="preserve"> </w:t>
      </w:r>
      <w:r>
        <w:t xml:space="preserve">with no reconnect and no cache to clear.</w:t>
      </w:r>
    </w:p>
    <w:p>
      <w:pPr>
        <w:pStyle w:val="BodyText"/>
      </w:pPr>
      <w:r>
        <w:t xml:space="preserve">Only 4 of the 4,004 group IDs are real Entra groups; the remainder are generated</w:t>
      </w:r>
      <w:r>
        <w:t xml:space="preserve"> </w:t>
      </w:r>
      <w:r>
        <w:t xml:space="preserve">GUIDs. The predicate compares GUIDs held in local tables and cannot distinguish</w:t>
      </w:r>
      <w:r>
        <w:t xml:space="preserve"> </w:t>
      </w:r>
      <w:r>
        <w:t xml:space="preserve">between the two, so creating 4,000 real groups would not have changed the result. It</w:t>
      </w:r>
      <w:r>
        <w:t xml:space="preserve"> </w:t>
      </w:r>
      <w:r>
        <w:t xml:space="preserve">would have taken approximately 2.8 hours at the 2,540 ms per group we measured.</w:t>
      </w:r>
    </w:p>
    <w:bookmarkEnd w:id="20"/>
    <w:bookmarkStart w:id="21" w:name="the-options"/>
    <w:p>
      <w:pPr>
        <w:pStyle w:val="Heading2"/>
      </w:pPr>
      <w:r>
        <w:t xml:space="preserve">The options</w:t>
      </w:r>
    </w:p>
    <w:p>
      <w:pPr>
        <w:pStyle w:val="FirstParagraph"/>
      </w:pPr>
      <w:r>
        <w:t xml:space="preserve">Three ways to answer that question, and a fourth that changes who is asking.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Where membership comes from</w:t>
            </w:r>
          </w:p>
        </w:tc>
        <w:tc>
          <w:tcPr/>
          <w:p>
            <w:pPr>
              <w:pStyle w:val="Compact"/>
            </w:pPr>
            <w:r>
              <w:t xml:space="preserve">Extra database principals</w:t>
            </w:r>
          </w:p>
        </w:tc>
        <w:tc>
          <w:tcPr/>
          <w:p>
            <w:pPr>
              <w:pStyle w:val="Compact"/>
            </w:pPr>
            <w:r>
              <w:t xml:space="preserve">Usable in an RLS predicate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Synced membership table</w:t>
            </w:r>
          </w:p>
        </w:tc>
        <w:tc>
          <w:tcPr/>
          <w:p>
            <w:pPr>
              <w:pStyle w:val="Compact"/>
            </w:pPr>
            <w:r>
              <w:t xml:space="preserve">a table a job keeps current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IS_MEMBER</w:t>
            </w:r>
            <w:r>
              <w:t xml:space="preserve"> </w:t>
            </w:r>
            <w:r>
              <w:t xml:space="preserve">with a principal per group</w:t>
            </w:r>
          </w:p>
        </w:tc>
        <w:tc>
          <w:tcPr/>
          <w:p>
            <w:pPr>
              <w:pStyle w:val="Compact"/>
            </w:pPr>
            <w:r>
              <w:t xml:space="preserve">the login token, matched by name</w:t>
            </w:r>
          </w:p>
        </w:tc>
        <w:tc>
          <w:tcPr/>
          <w:p>
            <w:pPr>
              <w:pStyle w:val="Compact"/>
            </w:pPr>
            <w:r>
              <w:t xml:space="preserve">one per group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sys.login_token</w:t>
            </w:r>
            <w:r>
              <w:t xml:space="preserve"> </w:t>
            </w:r>
            <w:r>
              <w:t xml:space="preserve">read directly</w:t>
            </w:r>
          </w:p>
        </w:tc>
        <w:tc>
          <w:tcPr/>
          <w:p>
            <w:pPr>
              <w:pStyle w:val="Compact"/>
            </w:pPr>
            <w:r>
              <w:t xml:space="preserve">the login token, matched by object ID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SESSION_CONTEXT</w:t>
            </w:r>
          </w:p>
        </w:tc>
        <w:tc>
          <w:tcPr/>
          <w:p>
            <w:pPr>
              <w:pStyle w:val="Compact"/>
            </w:pPr>
            <w:r>
              <w:t xml:space="preserve">a table, as in option 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Options 1 to 3 are three answers to the same question: how does the database learn</w:t>
      </w:r>
      <w:r>
        <w:t xml:space="preserve"> </w:t>
      </w:r>
      <w:r>
        <w:t xml:space="preserve">the caller's groups. Option 4 answers a different one: who is the caller. It is</w:t>
      </w:r>
      <w:r>
        <w:t xml:space="preserve"> </w:t>
      </w:r>
      <w:r>
        <w:t xml:space="preserve">combined with option 1 rather than chosen instead of it, and it matters when the</w:t>
      </w:r>
      <w:r>
        <w:t xml:space="preserve"> </w:t>
      </w:r>
      <w:r>
        <w:t xml:space="preserve">application connects on the user's behalf.</w:t>
      </w:r>
    </w:p>
    <w:bookmarkEnd w:id="21"/>
    <w:bookmarkStart w:id="22" w:name="shared-groundwork-the-data-model"/>
    <w:p>
      <w:pPr>
        <w:pStyle w:val="Heading2"/>
      </w:pPr>
      <w:r>
        <w:t xml:space="preserve">Shared groundwork: the data model</w:t>
      </w:r>
    </w:p>
    <w:p>
      <w:pPr>
        <w:pStyle w:val="FirstParagraph"/>
      </w:pPr>
      <w:r>
        <w:t xml:space="preserve">All four options sit on the same three business tables.</w:t>
      </w:r>
    </w:p>
    <w:p>
      <w:pPr>
        <w:pStyle w:val="SourceCode"/>
      </w:pPr>
      <w:r>
        <w:rPr>
          <w:rStyle w:val="VerbatimChar"/>
        </w:rPr>
        <w:t xml:space="preserve">Document       DocumentId, DocumentName</w:t>
      </w:r>
      <w:r>
        <w:br/>
      </w:r>
      <w:r>
        <w:rPr>
          <w:rStyle w:val="VerbatimChar"/>
        </w:rPr>
        <w:t xml:space="preserve">ProjectAccess  ProjectId, EntraIdWrite, EntraIdRead      synced from an IAM system</w:t>
      </w:r>
      <w:r>
        <w:br/>
      </w:r>
      <w:r>
        <w:rPr>
          <w:rStyle w:val="VerbatimChar"/>
        </w:rPr>
        <w:t xml:space="preserve">DocumentLine   DocumentLineId, DocumentId, ProjectId     the protected table</w:t>
      </w:r>
    </w:p>
    <w:p>
      <w:pPr>
        <w:pStyle w:val="FirstParagraph"/>
      </w:pPr>
      <w:r>
        <w:t xml:space="preserve">A row carries a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 not a group. The group is reached through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.</w:t>
      </w:r>
      <w:r>
        <w:t xml:space="preserve"> </w:t>
      </w:r>
      <w:r>
        <w:t xml:space="preserve">Reads are open and handled by table permissions, so only writes need row-level security.</w:t>
      </w:r>
    </w:p>
    <w:p>
      <w:pPr>
        <w:pStyle w:val="BodyText"/>
      </w:pPr>
      <w:r>
        <w:t xml:space="preserve">What differs between the options is only the last hop: how the database establishes</w:t>
      </w:r>
      <w:r>
        <w:t xml:space="preserve"> </w:t>
      </w:r>
      <w:r>
        <w:t xml:space="preserve">whether the caller is in the group that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names.</w:t>
      </w:r>
    </w:p>
    <w:p>
      <w:r>
        <w:pict>
          <v:rect style="width:0;height:1.5pt" o:hralign="center" o:hrstd="t" o:hr="t"/>
        </w:pict>
      </w:r>
    </w:p>
    <w:bookmarkEnd w:id="22"/>
    <w:bookmarkStart w:id="23" w:name="Xe1d79d004a790c8e0855cb6a371ee8c50ec55d6"/>
    <w:p>
      <w:pPr>
        <w:pStyle w:val="Heading2"/>
      </w:pPr>
      <w:r>
        <w:t xml:space="preserve">Option 1: Synced membership table (implemented here)</w:t>
      </w:r>
    </w:p>
    <w:p>
      <w:pPr>
        <w:pStyle w:val="FirstParagraph"/>
      </w:pPr>
      <w:r>
        <w:t xml:space="preserve">A scheduled job writes user-to-group membership into a table, and the predicate joins it.</w:t>
      </w:r>
    </w:p>
    <w:p>
      <w:pPr>
        <w:pStyle w:val="BodyText"/>
      </w:pPr>
      <w:r>
        <w:rPr>
          <w:b/>
          <w:bCs/>
        </w:rPr>
        <w:t xml:space="preserve">How it works.</w:t>
      </w:r>
      <w:r>
        <w:t xml:space="preserve"> </w:t>
      </w:r>
      <w:r>
        <w:t xml:space="preserve">One row per user-to-group pair, keyed on Entra object IDs.</w:t>
      </w:r>
    </w:p>
    <w:p>
      <w:pPr>
        <w:pStyle w:val="SourceCode"/>
      </w:pPr>
      <w:r>
        <w:rPr>
          <w:rStyle w:val="VerbatimChar"/>
        </w:rPr>
        <w:t xml:space="preserve">Security.GroupMembership (UserObjectId, GroupObjectId)</w:t>
      </w:r>
    </w:p>
    <w:p>
      <w:pPr>
        <w:pStyle w:val="FirstParagraph"/>
      </w:pPr>
      <w:r>
        <w:t xml:space="preserve">The predicate walks three hops, all of them local:</w:t>
      </w:r>
    </w:p>
    <w:p>
      <w:pPr>
        <w:pStyle w:val="SourceCode"/>
      </w:pPr>
      <w:r>
        <w:rPr>
          <w:rStyle w:val="VerbatimChar"/>
        </w:rPr>
        <w:t xml:space="preserve">row.ProjectId -&gt; ProjectAccess.EntraIdWrite -&gt; GroupMembership -&gt; caller</w:t>
      </w:r>
    </w:p>
    <w:p>
      <w:pPr>
        <w:pStyle w:val="FirstParagraph"/>
      </w:pPr>
      <w:r>
        <w:rPr>
          <w:b/>
          <w:bCs/>
        </w:rPr>
        <w:t xml:space="preserve">Pros</w:t>
      </w:r>
    </w:p>
    <w:p>
      <w:pPr>
        <w:pStyle w:val="Compact"/>
        <w:numPr>
          <w:ilvl w:val="0"/>
          <w:numId w:val="1001"/>
        </w:numPr>
      </w:pPr>
      <w:r>
        <w:t xml:space="preserve">No database principals per group. Only the per-user principals any connection needs.</w:t>
      </w:r>
    </w:p>
    <w:p>
      <w:pPr>
        <w:pStyle w:val="Compact"/>
        <w:numPr>
          <w:ilvl w:val="0"/>
          <w:numId w:val="1001"/>
        </w:numPr>
      </w:pPr>
      <w:r>
        <w:t xml:space="preserve">Any group works, including ones defined after the system was built, because the sync</w:t>
      </w:r>
      <w:r>
        <w:t xml:space="preserve"> </w:t>
      </w:r>
      <w:r>
        <w:t xml:space="preserve">stores each user's full membership rather than a catalogue of groups.</w:t>
      </w:r>
    </w:p>
    <w:p>
      <w:pPr>
        <w:pStyle w:val="Compact"/>
        <w:numPr>
          <w:ilvl w:val="0"/>
          <w:numId w:val="1001"/>
        </w:numPr>
      </w:pPr>
      <w:r>
        <w:t xml:space="preserve">Matches on object IDs, so renaming a group in Entra changes nothing.</w:t>
      </w:r>
    </w:p>
    <w:p>
      <w:pPr>
        <w:pStyle w:val="Compact"/>
        <w:numPr>
          <w:ilvl w:val="0"/>
          <w:numId w:val="1001"/>
        </w:numPr>
      </w:pPr>
      <w:r>
        <w:t xml:space="preserve">The clustered key makes the check an index seek. A paged API query costs 6 logical</w:t>
      </w:r>
      <w:r>
        <w:t xml:space="preserve"> </w:t>
      </w:r>
      <w:r>
        <w:t xml:space="preserve">reads on the data table.</w:t>
      </w:r>
    </w:p>
    <w:p>
      <w:pPr>
        <w:pStyle w:val="Compact"/>
        <w:numPr>
          <w:ilvl w:val="0"/>
          <w:numId w:val="1001"/>
        </w:numPr>
      </w:pPr>
      <w:r>
        <w:t xml:space="preserve">Revocation timing is a number you choose and can state in a contract.</w:t>
      </w:r>
    </w:p>
    <w:p>
      <w:pPr>
        <w:pStyle w:val="Compact"/>
        <w:numPr>
          <w:ilvl w:val="0"/>
          <w:numId w:val="1001"/>
        </w:numPr>
      </w:pPr>
      <w:r>
        <w:t xml:space="preserve">The sync needs only</w:t>
      </w:r>
      <w:r>
        <w:t xml:space="preserve"> </w:t>
      </w:r>
      <w:r>
        <w:rPr>
          <w:rStyle w:val="VerbatimChar"/>
        </w:rPr>
        <w:t xml:space="preserve">db_datawriter</w:t>
      </w:r>
      <w:r>
        <w:t xml:space="preserve"> </w:t>
      </w:r>
      <w:r>
        <w:t xml:space="preserve">on one schema, so directory administration stays</w:t>
      </w:r>
      <w:r>
        <w:t xml:space="preserve"> </w:t>
      </w:r>
      <w:r>
        <w:t xml:space="preserve">separate from database administration.</w:t>
      </w:r>
    </w:p>
    <w:p>
      <w:pPr>
        <w:pStyle w:val="FirstParagraph"/>
      </w:pPr>
      <w:r>
        <w:rPr>
          <w:b/>
          <w:bCs/>
        </w:rPr>
        <w:t xml:space="preserve">Cons</w:t>
      </w:r>
    </w:p>
    <w:p>
      <w:pPr>
        <w:pStyle w:val="Compact"/>
        <w:numPr>
          <w:ilvl w:val="0"/>
          <w:numId w:val="1002"/>
        </w:numPr>
      </w:pPr>
      <w:r>
        <w:t xml:space="preserve">A sync job to build and operate.</w:t>
      </w:r>
    </w:p>
    <w:p>
      <w:pPr>
        <w:pStyle w:val="Compact"/>
        <w:numPr>
          <w:ilvl w:val="0"/>
          <w:numId w:val="1002"/>
        </w:numPr>
      </w:pPr>
      <w:r>
        <w:t xml:space="preserve">Membership is as fresh as the last run. Removing someone from a group takes effect at</w:t>
      </w:r>
      <w:r>
        <w:t xml:space="preserve"> </w:t>
      </w:r>
      <w:r>
        <w:t xml:space="preserve">the next sync, which is a real security window.</w:t>
      </w:r>
    </w:p>
    <w:p>
      <w:pPr>
        <w:pStyle w:val="Compact"/>
        <w:numPr>
          <w:ilvl w:val="0"/>
          <w:numId w:val="1002"/>
        </w:numPr>
      </w:pPr>
      <w:r>
        <w:t xml:space="preserve">More rows than any other option. Ten thousand users in 200 groups each is about two</w:t>
      </w:r>
      <w:r>
        <w:t xml:space="preserve"> </w:t>
      </w:r>
      <w:r>
        <w:t xml:space="preserve">million rows, roughly 120 MB.</w:t>
      </w:r>
    </w:p>
    <w:p>
      <w:pPr>
        <w:pStyle w:val="Compact"/>
        <w:numPr>
          <w:ilvl w:val="0"/>
          <w:numId w:val="1002"/>
        </w:numPr>
      </w:pPr>
      <w:r>
        <w:t xml:space="preserve">A full table scan costs about two logical reads per row against the entitlement table,</w:t>
      </w:r>
      <w:r>
        <w:t xml:space="preserve"> </w:t>
      </w:r>
      <w:r>
        <w:t xml:space="preserve">so whole-table aggregates should come from a summary table.</w:t>
      </w:r>
    </w:p>
    <w:p>
      <w:pPr>
        <w:pStyle w:val="FirstParagraph"/>
      </w:pPr>
      <w:r>
        <w:rPr>
          <w:b/>
          <w:bCs/>
        </w:rPr>
        <w:t xml:space="preserve">Two things the sync job has to get right.</w:t>
      </w:r>
      <w:r>
        <w:t xml:space="preserve"> </w:t>
      </w:r>
      <w:r>
        <w:t xml:space="preserve">It must read</w:t>
      </w:r>
      <w:r>
        <w:t xml:space="preserve"> </w:t>
      </w:r>
      <w:r>
        <w:rPr>
          <w:i/>
          <w:iCs/>
        </w:rPr>
        <w:t xml:space="preserve">transitive</w:t>
      </w:r>
      <w:r>
        <w:t xml:space="preserve"> </w:t>
      </w:r>
      <w:r>
        <w:t xml:space="preserve">membership,</w:t>
      </w:r>
      <w:r>
        <w:t xml:space="preserve"> </w:t>
      </w:r>
      <w:r>
        <w:t xml:space="preserve">Graph's</w:t>
      </w:r>
      <w:r>
        <w:t xml:space="preserve"> </w:t>
      </w:r>
      <w:r>
        <w:rPr>
          <w:rStyle w:val="VerbatimChar"/>
        </w:rPr>
        <w:t xml:space="preserve">getMemberObjects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memberOf</w:t>
      </w:r>
      <w:r>
        <w:t xml:space="preserve">, or nested groups fail silently.</w:t>
      </w:r>
      <w:r>
        <w:t xml:space="preserve"> </w:t>
      </w:r>
      <w:r>
        <w:t xml:space="preserve">And the merge must delete: it takes the user's complete current membership and</w:t>
      </w:r>
      <w:r>
        <w:t xml:space="preserve"> </w:t>
      </w:r>
      <w:r>
        <w:t xml:space="preserve">removes what is no longer there, so offboarding needs no separate cleanup.</w:t>
      </w:r>
    </w:p>
    <w:p>
      <w:pPr>
        <w:pStyle w:val="BodyText"/>
      </w:pPr>
      <w:r>
        <w:t xml:space="preserve">The interval is a revocation SLA, not a performance setting. Adding someone late is</w:t>
      </w:r>
      <w:r>
        <w:t xml:space="preserve"> </w:t>
      </w:r>
      <w:r>
        <w:t xml:space="preserve">harmless; removing someone late is a security window. Note that option 2 has the</w:t>
      </w:r>
      <w:r>
        <w:t xml:space="preserve"> </w:t>
      </w:r>
      <w:r>
        <w:t xml:space="preserve">same lag and less control over it:</w:t>
      </w:r>
      <w:r>
        <w:t xml:space="preserve"> </w:t>
      </w:r>
      <w:r>
        <w:rPr>
          <w:rStyle w:val="VerbatimChar"/>
        </w:rPr>
        <w:t xml:space="preserve">IS_MEMBER</w:t>
      </w:r>
      <w:r>
        <w:t xml:space="preserve"> </w:t>
      </w:r>
      <w:r>
        <w:t xml:space="preserve">resolves at login and never</w:t>
      </w:r>
      <w:r>
        <w:t xml:space="preserve"> </w:t>
      </w:r>
      <w:r>
        <w:t xml:space="preserve">refreshes, so with connection pooling a revoked user keeps access until the pool</w:t>
      </w:r>
      <w:r>
        <w:t xml:space="preserve"> </w:t>
      </w:r>
      <w:r>
        <w:t xml:space="preserve">recycles that connection, at an interval nobody sets or measures.</w:t>
      </w:r>
    </w:p>
    <w:p>
      <w:pPr>
        <w:pStyle w:val="BodyText"/>
      </w:pPr>
      <w:r>
        <w:rPr>
          <w:b/>
          <w:bCs/>
        </w:rPr>
        <w:t xml:space="preserve">Use it when</w:t>
      </w:r>
      <w:r>
        <w:t xml:space="preserve"> </w:t>
      </w:r>
      <w:r>
        <w:t xml:space="preserve">groups number in the thousands or more and the user's own token opens the</w:t>
      </w:r>
      <w:r>
        <w:t xml:space="preserve"> </w:t>
      </w:r>
      <w:r>
        <w:t xml:space="preserve">connection.</w:t>
      </w:r>
    </w:p>
    <w:p>
      <w:r>
        <w:pict>
          <v:rect style="width:0;height:1.5pt" o:hralign="center" o:hrstd="t" o:hr="t"/>
        </w:pict>
      </w:r>
    </w:p>
    <w:bookmarkEnd w:id="23"/>
    <w:bookmarkStart w:id="24" w:name="X3c5b096f37778fc4bad5efef8351cf63fec131c"/>
    <w:p>
      <w:pPr>
        <w:pStyle w:val="Heading2"/>
      </w:pPr>
      <w:r>
        <w:t xml:space="preserve">Option 2:</w:t>
      </w:r>
      <w:r>
        <w:t xml:space="preserve"> </w:t>
      </w:r>
      <w:r>
        <w:rPr>
          <w:rStyle w:val="VerbatimChar"/>
        </w:rPr>
        <w:t xml:space="preserve">IS_MEMBER</w:t>
      </w:r>
      <w:r>
        <w:t xml:space="preserve"> </w:t>
      </w:r>
      <w:r>
        <w:t xml:space="preserve">with a principal per group (small group sets)</w:t>
      </w:r>
    </w:p>
    <w:p>
      <w:pPr>
        <w:pStyle w:val="FirstParagraph"/>
      </w:pPr>
      <w:r>
        <w:t xml:space="preserve">The database answers the membership question natively, at the cost of registering every</w:t>
      </w:r>
      <w:r>
        <w:t xml:space="preserve"> </w:t>
      </w:r>
      <w:r>
        <w:t xml:space="preserve">group it might be asked about.</w:t>
      </w:r>
    </w:p>
    <w:p>
      <w:pPr>
        <w:pStyle w:val="BodyText"/>
      </w:pPr>
      <w:r>
        <w:rPr>
          <w:b/>
          <w:bCs/>
        </w:rPr>
        <w:t xml:space="preserve">How it works.</w:t>
      </w:r>
      <w:r>
        <w:t xml:space="preserve"> </w:t>
      </w:r>
      <w:r>
        <w:rPr>
          <w:rStyle w:val="VerbatimChar"/>
        </w:rPr>
        <w:t xml:space="preserve">IS_MEMBER</w:t>
      </w:r>
      <w:r>
        <w:t xml:space="preserve"> </w:t>
      </w:r>
      <w:r>
        <w:t xml:space="preserve">accepts a value from a column, so the group named on the row</w:t>
      </w:r>
      <w:r>
        <w:t xml:space="preserve"> </w:t>
      </w:r>
      <w:r>
        <w:t xml:space="preserve">can be passed straight in. It only resolves groups that already exist as database</w:t>
      </w:r>
      <w:r>
        <w:t xml:space="preserve"> </w:t>
      </w:r>
      <w:r>
        <w:t xml:space="preserve">principals, so each one has to be created first: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[project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4711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writers]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EXTERNAL PROVIDER;</w:t>
      </w:r>
    </w:p>
    <w:p>
      <w:pPr>
        <w:pStyle w:val="FirstParagraph"/>
      </w:pPr>
      <w:r>
        <w:rPr>
          <w:b/>
          <w:bCs/>
        </w:rPr>
        <w:t xml:space="preserve">Pros</w:t>
      </w:r>
    </w:p>
    <w:p>
      <w:pPr>
        <w:pStyle w:val="Compact"/>
        <w:numPr>
          <w:ilvl w:val="0"/>
          <w:numId w:val="1003"/>
        </w:numPr>
      </w:pPr>
      <w:r>
        <w:t xml:space="preserve">No sync job for membership. The database resolves it at login.</w:t>
      </w:r>
    </w:p>
    <w:p>
      <w:pPr>
        <w:pStyle w:val="Compact"/>
        <w:numPr>
          <w:ilvl w:val="0"/>
          <w:numId w:val="1003"/>
        </w:numPr>
      </w:pPr>
      <w:r>
        <w:t xml:space="preserve">No staleness within a session. Membership is whatever it was when the connection</w:t>
      </w:r>
      <w:r>
        <w:t xml:space="preserve"> </w:t>
      </w:r>
      <w:r>
        <w:t xml:space="preserve">opened.</w:t>
      </w:r>
    </w:p>
    <w:p>
      <w:pPr>
        <w:pStyle w:val="Compact"/>
        <w:numPr>
          <w:ilvl w:val="0"/>
          <w:numId w:val="1003"/>
        </w:numPr>
      </w:pPr>
      <w:r>
        <w:t xml:space="preserve">The predicate is a single function call and is easy to read.</w:t>
      </w:r>
    </w:p>
    <w:p>
      <w:pPr>
        <w:pStyle w:val="FirstParagraph"/>
      </w:pPr>
      <w:r>
        <w:rPr>
          <w:b/>
          <w:bCs/>
        </w:rPr>
        <w:t xml:space="preserve">Cons</w:t>
      </w:r>
    </w:p>
    <w:p>
      <w:pPr>
        <w:pStyle w:val="Compact"/>
        <w:numPr>
          <w:ilvl w:val="0"/>
          <w:numId w:val="1004"/>
        </w:numPr>
      </w:pPr>
      <w:r>
        <w:t xml:space="preserve">One database principal per group, in every database, maintained for the life of the</w:t>
      </w:r>
      <w:r>
        <w:t xml:space="preserve"> </w:t>
      </w:r>
      <w:r>
        <w:t xml:space="preserve">system. We measured</w:t>
      </w:r>
      <w:r>
        <w:t xml:space="preserve"> </w:t>
      </w:r>
      <w:r>
        <w:rPr>
          <w:rStyle w:val="VerbatimChar"/>
        </w:rPr>
        <w:t xml:space="preserve">CREATE USER ... FROM EXTERNAL PROVIDER</w:t>
      </w:r>
      <w:r>
        <w:t xml:space="preserve"> </w:t>
      </w:r>
      <w:r>
        <w:t xml:space="preserve">at 90 ms each, so 100,000</w:t>
      </w:r>
      <w:r>
        <w:t xml:space="preserve"> </w:t>
      </w:r>
      <w:r>
        <w:t xml:space="preserve">groups is about 2.5 hours of setup per database, and every new group adds more.</w:t>
      </w:r>
    </w:p>
    <w:p>
      <w:pPr>
        <w:pStyle w:val="Compact"/>
        <w:numPr>
          <w:ilvl w:val="0"/>
          <w:numId w:val="1004"/>
        </w:numPr>
      </w:pPr>
      <w:r>
        <w:t xml:space="preserve">It matches on display name, not object ID. Entra permits duplicate display names and</w:t>
      </w:r>
      <w:r>
        <w:t xml:space="preserve"> </w:t>
      </w:r>
      <w:r>
        <w:t xml:space="preserve">Azure SQL requires them to be unique, so collisions are certain at scale. Renaming a</w:t>
      </w:r>
      <w:r>
        <w:t xml:space="preserve"> </w:t>
      </w:r>
      <w:r>
        <w:t xml:space="preserve">group in Entra silently stops it matching, and access is denied with no error.</w:t>
      </w:r>
    </w:p>
    <w:p>
      <w:pPr>
        <w:pStyle w:val="Compact"/>
        <w:numPr>
          <w:ilvl w:val="0"/>
          <w:numId w:val="1004"/>
        </w:numPr>
      </w:pPr>
      <w:r>
        <w:t xml:space="preserve">Not usable by an index. It is a scalar function evaluated per candidate row, so a</w:t>
      </w:r>
      <w:r>
        <w:t xml:space="preserve"> </w:t>
      </w:r>
      <w:r>
        <w:t xml:space="preserve">filter on the row's group column cannot seek.</w:t>
      </w:r>
    </w:p>
    <w:p>
      <w:pPr>
        <w:pStyle w:val="Compact"/>
        <w:numPr>
          <w:ilvl w:val="0"/>
          <w:numId w:val="1004"/>
        </w:numPr>
      </w:pPr>
      <w:r>
        <w:t xml:space="preserve">Registering groups is DDL, so the process doing it needs permanent DDL rights in</w:t>
      </w:r>
      <w:r>
        <w:t xml:space="preserve"> </w:t>
      </w:r>
      <w:r>
        <w:t xml:space="preserve">production plus Graph read access.</w:t>
      </w:r>
    </w:p>
    <w:p>
      <w:pPr>
        <w:pStyle w:val="Compact"/>
        <w:numPr>
          <w:ilvl w:val="0"/>
          <w:numId w:val="1004"/>
        </w:numPr>
      </w:pPr>
      <w:r>
        <w:t xml:space="preserve">A sync job is still required, just a different one: something has to create and drop</w:t>
      </w:r>
      <w:r>
        <w:t xml:space="preserve"> </w:t>
      </w:r>
      <w:r>
        <w:t xml:space="preserve">those principals as the directory changes.</w:t>
      </w:r>
    </w:p>
    <w:p>
      <w:pPr>
        <w:pStyle w:val="FirstParagraph"/>
      </w:pPr>
      <w:r>
        <w:rPr>
          <w:b/>
          <w:bCs/>
        </w:rPr>
        <w:t xml:space="preserve">Use it when</w:t>
      </w:r>
      <w:r>
        <w:t xml:space="preserve"> </w:t>
      </w:r>
      <w:r>
        <w:t xml:space="preserve">the set of groups is small and stable. The mechanism is sound; it is the</w:t>
      </w:r>
      <w:r>
        <w:t xml:space="preserve"> </w:t>
      </w:r>
      <w:r>
        <w:t xml:space="preserve">group count that rules it out.</w:t>
      </w:r>
    </w:p>
    <w:p>
      <w:r>
        <w:pict>
          <v:rect style="width:0;height:1.5pt" o:hralign="center" o:hrstd="t" o:hr="t"/>
        </w:pict>
      </w:r>
    </w:p>
    <w:bookmarkEnd w:id="24"/>
    <w:bookmarkStart w:id="25" w:name="option-3-syslogin_token-read-directly"/>
    <w:p>
      <w:pPr>
        <w:pStyle w:val="Heading2"/>
      </w:pPr>
      <w:r>
        <w:t xml:space="preserve">Option 3:</w:t>
      </w:r>
      <w:r>
        <w:t xml:space="preserve"> </w:t>
      </w:r>
      <w:r>
        <w:rPr>
          <w:rStyle w:val="VerbatimChar"/>
        </w:rPr>
        <w:t xml:space="preserve">sys.login_token</w:t>
      </w:r>
      <w:r>
        <w:t xml:space="preserve"> </w:t>
      </w:r>
      <w:r>
        <w:t xml:space="preserve">read directly</w:t>
      </w:r>
    </w:p>
    <w:p>
      <w:pPr>
        <w:pStyle w:val="FirstParagraph"/>
      </w:pPr>
      <w:r>
        <w:t xml:space="preserve">Azure SQL already knows the caller's groups at login and exposes them in a system</w:t>
      </w:r>
      <w:r>
        <w:t xml:space="preserve"> </w:t>
      </w:r>
      <w:r>
        <w:t xml:space="preserve">view.</w:t>
      </w:r>
    </w:p>
    <w:p>
      <w:pPr>
        <w:pStyle w:val="BodyText"/>
      </w:pPr>
      <w:r>
        <w:rPr>
          <w:b/>
          <w:bCs/>
        </w:rPr>
        <w:t xml:space="preserve">How it works.</w:t>
      </w:r>
      <w:r>
        <w:t xml:space="preserve"> </w:t>
      </w:r>
      <w:r>
        <w:rPr>
          <w:rStyle w:val="VerbatimChar"/>
        </w:rPr>
        <w:t xml:space="preserve">sys.login_token</w:t>
      </w:r>
      <w:r>
        <w:t xml:space="preserve"> </w:t>
      </w:r>
      <w:r>
        <w:t xml:space="preserve">lists every group the caller belongs to. We</w:t>
      </w:r>
      <w:r>
        <w:t xml:space="preserve"> </w:t>
      </w:r>
      <w:r>
        <w:t xml:space="preserve">checked what it holds: 18 group entries for a test user, and every SID casts</w:t>
      </w:r>
      <w:r>
        <w:t xml:space="preserve"> </w:t>
      </w:r>
      <w:r>
        <w:t xml:space="preserve">cleanly to the Entra object ID: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UNIQUEIDENTIFIER)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sys.login_token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'WINDOWS GROUP'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oid                                   type           usage</w:t>
      </w:r>
      <w:r>
        <w:br/>
      </w:r>
      <w:r>
        <w:rPr>
          <w:rStyle w:val="VerbatimChar"/>
        </w:rPr>
        <w:t xml:space="preserve">2ED2D8F6-7699-420A-A090-9F4139F3B2E1  WINDOWS GROUP  DENY ONLY</w:t>
      </w:r>
      <w:r>
        <w:br/>
      </w:r>
      <w:r>
        <w:rPr>
          <w:rStyle w:val="VerbatimChar"/>
        </w:rPr>
        <w:t xml:space="preserve">C3A6DB5E-DC48-47DD-994F-B856AEBD22E4  WINDOWS GROUP  DENY ONLY</w:t>
      </w:r>
    </w:p>
    <w:p>
      <w:pPr>
        <w:pStyle w:val="FirstParagraph"/>
      </w:pPr>
      <w:r>
        <w:t xml:space="preserve">Those are object IDs in exactly the form</w:t>
      </w:r>
      <w:r>
        <w:t xml:space="preserve"> </w:t>
      </w:r>
      <w:r>
        <w:rPr>
          <w:rStyle w:val="VerbatimChar"/>
        </w:rPr>
        <w:t xml:space="preserve">ProjectAccess.EntraIdWrite</w:t>
      </w:r>
      <w:r>
        <w:t xml:space="preserve"> </w:t>
      </w:r>
      <w:r>
        <w:t xml:space="preserve">stores. No</w:t>
      </w:r>
      <w:r>
        <w:t xml:space="preserve"> </w:t>
      </w:r>
      <w:r>
        <w:t xml:space="preserve">names, no registration, nothing to keep in step with the directory.</w:t>
      </w:r>
    </w:p>
    <w:p>
      <w:pPr>
        <w:pStyle w:val="BodyText"/>
      </w:pPr>
      <w:r>
        <w:rPr>
          <w:b/>
          <w:bCs/>
        </w:rPr>
        <w:t xml:space="preserve">Pros</w:t>
      </w:r>
    </w:p>
    <w:p>
      <w:pPr>
        <w:pStyle w:val="Compact"/>
        <w:numPr>
          <w:ilvl w:val="0"/>
          <w:numId w:val="1005"/>
        </w:numPr>
      </w:pPr>
      <w:r>
        <w:t xml:space="preserve">No sync job and no staleness. The information is already in the session.</w:t>
      </w:r>
    </w:p>
    <w:p>
      <w:pPr>
        <w:pStyle w:val="Compact"/>
        <w:numPr>
          <w:ilvl w:val="0"/>
          <w:numId w:val="1005"/>
        </w:numPr>
      </w:pPr>
      <w:r>
        <w:t xml:space="preserve">No database principal per group, unlike option 2.</w:t>
      </w:r>
    </w:p>
    <w:p>
      <w:pPr>
        <w:pStyle w:val="Compact"/>
        <w:numPr>
          <w:ilvl w:val="0"/>
          <w:numId w:val="1005"/>
        </w:numPr>
      </w:pPr>
      <w:r>
        <w:t xml:space="preserve">Matches on object IDs, so group renames are irrelevant.</w:t>
      </w:r>
    </w:p>
    <w:p>
      <w:pPr>
        <w:pStyle w:val="Compact"/>
        <w:numPr>
          <w:ilvl w:val="0"/>
          <w:numId w:val="1005"/>
        </w:numPr>
      </w:pPr>
      <w:r>
        <w:t xml:space="preserve">Outside RLS, in a stored procedure or an ordinary query, this is a better</w:t>
      </w:r>
      <w:r>
        <w:t xml:space="preserve"> </w:t>
      </w:r>
      <w:r>
        <w:t xml:space="preserve">membership check than</w:t>
      </w:r>
      <w:r>
        <w:t xml:space="preserve"> </w:t>
      </w:r>
      <w:r>
        <w:rPr>
          <w:rStyle w:val="VerbatimChar"/>
        </w:rPr>
        <w:t xml:space="preserve">IS_MEMBER</w:t>
      </w:r>
      <w:r>
        <w:t xml:space="preserve"> </w:t>
      </w:r>
      <w:r>
        <w:t xml:space="preserve">and needs nothing set up.</w:t>
      </w:r>
    </w:p>
    <w:p>
      <w:pPr>
        <w:pStyle w:val="FirstParagraph"/>
      </w:pPr>
      <w:r>
        <w:rPr>
          <w:b/>
          <w:bCs/>
        </w:rPr>
        <w:t xml:space="preserve">Cons</w:t>
      </w:r>
    </w:p>
    <w:p>
      <w:pPr>
        <w:numPr>
          <w:ilvl w:val="0"/>
          <w:numId w:val="1006"/>
        </w:numPr>
      </w:pPr>
      <w:r>
        <w:t xml:space="preserve">It cannot be used in an RLS predicate. Predicate functions must be schema-bound,</w:t>
      </w:r>
      <w:r>
        <w:t xml:space="preserve"> </w:t>
      </w:r>
      <w:r>
        <w:t xml:space="preserve">and schema binding forbids system objects: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Cannot schema bind table valued function because it references</w:t>
      </w:r>
      <w:r>
        <w:br/>
      </w:r>
      <w:r>
        <w:rPr>
          <w:rStyle w:val="VerbatimChar"/>
        </w:rPr>
        <w:t xml:space="preserve">system object 'sys.login_token'.</w:t>
      </w:r>
    </w:p>
    <w:p>
      <w:pPr>
        <w:numPr>
          <w:ilvl w:val="0"/>
          <w:numId w:val="1006"/>
        </w:numPr>
      </w:pPr>
      <w:r>
        <w:t xml:space="preserve">The workaround, copying the token into a real table at session start, keys on</w:t>
      </w:r>
      <w:r>
        <w:t xml:space="preserve"> </w:t>
      </w:r>
      <w:r>
        <w:rPr>
          <w:rStyle w:val="VerbatimChar"/>
        </w:rPr>
        <w:t xml:space="preserve">@@SPID</w:t>
      </w:r>
      <w:r>
        <w:t xml:space="preserve">, which Azure SQL reuses after a disconnect. A session that fails to</w:t>
      </w:r>
      <w:r>
        <w:t xml:space="preserve"> </w:t>
      </w:r>
      <w:r>
        <w:t xml:space="preserve">clear and repopulate leaves the next caller holding the previous caller's groups.</w:t>
      </w:r>
      <w:r>
        <w:t xml:space="preserve"> </w:t>
      </w:r>
      <w:r>
        <w:t xml:space="preserve">That fails open.</w:t>
      </w:r>
    </w:p>
    <w:p>
      <w:pPr>
        <w:numPr>
          <w:ilvl w:val="0"/>
          <w:numId w:val="1006"/>
        </w:numPr>
      </w:pPr>
      <w:r>
        <w:t xml:space="preserve">Membership is fixed when the connection opens, so with pooling a revoked user</w:t>
      </w:r>
      <w:r>
        <w:t xml:space="preserve"> </w:t>
      </w:r>
      <w:r>
        <w:t xml:space="preserve">keeps access until the connection recycles.</w:t>
      </w:r>
    </w:p>
    <w:p>
      <w:pPr>
        <w:pStyle w:val="FirstParagraph"/>
      </w:pPr>
      <w:r>
        <w:rPr>
          <w:b/>
          <w:bCs/>
        </w:rPr>
        <w:t xml:space="preserve">Use it when</w:t>
      </w:r>
      <w:r>
        <w:t xml:space="preserve"> </w:t>
      </w:r>
      <w:r>
        <w:t xml:space="preserve">the check lives in a stored procedure rather than in row-level</w:t>
      </w:r>
      <w:r>
        <w:t xml:space="preserve"> </w:t>
      </w:r>
      <w:r>
        <w:t xml:space="preserve">security. For RLS itself it is ruled out by one specific restriction, not by any</w:t>
      </w:r>
      <w:r>
        <w:t xml:space="preserve"> </w:t>
      </w:r>
      <w:r>
        <w:t xml:space="preserve">weakness in the data it holds.</w:t>
      </w:r>
    </w:p>
    <w:p>
      <w:r>
        <w:pict>
          <v:rect style="width:0;height:1.5pt" o:hralign="center" o:hrstd="t" o:hr="t"/>
        </w:pict>
      </w:r>
    </w:p>
    <w:bookmarkEnd w:id="25"/>
    <w:bookmarkStart w:id="26" w:name="Xe1f827bc9f4ce0099c6ee34e5aa1b8d7a173bd2"/>
    <w:p>
      <w:pPr>
        <w:pStyle w:val="Heading2"/>
      </w:pPr>
      <w:r>
        <w:t xml:space="preserve">Option 4:</w:t>
      </w:r>
      <w:r>
        <w:t xml:space="preserve"> </w:t>
      </w:r>
      <w:r>
        <w:rPr>
          <w:rStyle w:val="VerbatimChar"/>
        </w:rPr>
        <w:t xml:space="preserve">SESSION_CONTEXT</w:t>
      </w:r>
      <w:r>
        <w:t xml:space="preserve">, when the application connects</w:t>
      </w:r>
    </w:p>
    <w:p>
      <w:pPr>
        <w:pStyle w:val="FirstParagraph"/>
      </w:pPr>
      <w:r>
        <w:t xml:space="preserve">This one is not an alternative to the first three. It changes how the database</w:t>
      </w:r>
      <w:r>
        <w:t xml:space="preserve"> </w:t>
      </w:r>
      <w:r>
        <w:t xml:space="preserve">learns</w:t>
      </w:r>
      <w:r>
        <w:t xml:space="preserve"> </w:t>
      </w:r>
      <w:r>
        <w:rPr>
          <w:i/>
          <w:iCs/>
        </w:rPr>
        <w:t xml:space="preserve">who the caller is</w:t>
      </w:r>
      <w:r>
        <w:t xml:space="preserve">, and is combined with option 1's table.</w:t>
      </w:r>
    </w:p>
    <w:p>
      <w:pPr>
        <w:pStyle w:val="BodyText"/>
      </w:pPr>
      <w:r>
        <w:rPr>
          <w:b/>
          <w:bCs/>
        </w:rPr>
        <w:t xml:space="preserve">How it works.</w:t>
      </w:r>
      <w:r>
        <w:t xml:space="preserve"> </w:t>
      </w:r>
      <w:r>
        <w:t xml:space="preserve">The application connects with a service account, validates the</w:t>
      </w:r>
      <w:r>
        <w:t xml:space="preserve"> </w:t>
      </w:r>
      <w:r>
        <w:t xml:space="preserve">user's token itself, and asserts the identity on the connection:</w:t>
      </w:r>
    </w:p>
    <w:p>
      <w:pPr>
        <w:pStyle w:val="SourceCode"/>
      </w:pPr>
      <w:r>
        <w:rPr>
          <w:rStyle w:val="KeywordTok"/>
        </w:rPr>
        <w:t xml:space="preserve">EXEC</w:t>
      </w:r>
      <w:r>
        <w:rPr>
          <w:rStyle w:val="NormalTok"/>
        </w:rPr>
        <w:t xml:space="preserve"> sp_set_session_context </w:t>
      </w:r>
      <w:r>
        <w:rPr>
          <w:rStyle w:val="StringTok"/>
        </w:rPr>
        <w:t xml:space="preserve">'UserObjectId'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'&lt;oid from the validated token&gt;'</w:t>
      </w:r>
      <w:r>
        <w:rPr>
          <w:rStyle w:val="NormalTok"/>
        </w:rPr>
        <w:t xml:space="preserve">, @read_only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predicate reads</w:t>
      </w:r>
      <w:r>
        <w:t xml:space="preserve"> </w:t>
      </w:r>
      <w:r>
        <w:rPr>
          <w:rStyle w:val="VerbatimChar"/>
        </w:rPr>
        <w:t xml:space="preserve">SESSION_CONTEXT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DATABASE_PRINCIPAL_ID()</w:t>
      </w:r>
      <w:r>
        <w:t xml:space="preserve">. One</w:t>
      </w:r>
      <w:r>
        <w:t xml:space="preserve"> </w:t>
      </w:r>
      <w:r>
        <w:t xml:space="preserve">line changes; the entitlement table and the sync job are identical.</w:t>
      </w:r>
    </w:p>
    <w:p>
      <w:pPr>
        <w:pStyle w:val="BodyText"/>
      </w:pPr>
      <w:r>
        <w:rPr>
          <w:b/>
          <w:bCs/>
        </w:rPr>
        <w:t xml:space="preserve">Pros</w:t>
      </w:r>
    </w:p>
    <w:p>
      <w:pPr>
        <w:pStyle w:val="Compact"/>
        <w:numPr>
          <w:ilvl w:val="0"/>
          <w:numId w:val="1007"/>
        </w:numPr>
      </w:pPr>
      <w:r>
        <w:t xml:space="preserve">No per-user database principals, so nothing to create as staff join and leave.</w:t>
      </w:r>
    </w:p>
    <w:p>
      <w:pPr>
        <w:pStyle w:val="Compact"/>
        <w:numPr>
          <w:ilvl w:val="0"/>
          <w:numId w:val="1007"/>
        </w:numPr>
      </w:pPr>
      <w:r>
        <w:t xml:space="preserve">One connection pool for all users rather than a pool per user, which matters at</w:t>
      </w:r>
      <w:r>
        <w:t xml:space="preserve"> </w:t>
      </w:r>
      <w:r>
        <w:t xml:space="preserve">high concurrency.</w:t>
      </w:r>
    </w:p>
    <w:p>
      <w:pPr>
        <w:pStyle w:val="Compact"/>
        <w:numPr>
          <w:ilvl w:val="0"/>
          <w:numId w:val="1007"/>
        </w:numPr>
      </w:pPr>
      <w:r>
        <w:t xml:space="preserve">The 2,048 group login limit does not apply, because the user never authenticates</w:t>
      </w:r>
      <w:r>
        <w:t xml:space="preserve"> </w:t>
      </w:r>
      <w:r>
        <w:t xml:space="preserve">to SQL.</w:t>
      </w:r>
    </w:p>
    <w:p>
      <w:pPr>
        <w:pStyle w:val="Compact"/>
        <w:numPr>
          <w:ilvl w:val="0"/>
          <w:numId w:val="1007"/>
        </w:numPr>
      </w:pPr>
      <w:r>
        <w:t xml:space="preserve">Works when users reach the data through an application, which is the common case.</w:t>
      </w:r>
    </w:p>
    <w:p>
      <w:pPr>
        <w:pStyle w:val="FirstParagraph"/>
      </w:pPr>
      <w:r>
        <w:rPr>
          <w:b/>
          <w:bCs/>
        </w:rPr>
        <w:t xml:space="preserve">Cons</w:t>
      </w:r>
    </w:p>
    <w:p>
      <w:pPr>
        <w:pStyle w:val="Compact"/>
        <w:numPr>
          <w:ilvl w:val="0"/>
          <w:numId w:val="1008"/>
        </w:numPr>
      </w:pPr>
      <w:r>
        <w:t xml:space="preserve">The application becomes part of the security boundary. The database believes what</w:t>
      </w:r>
      <w:r>
        <w:t xml:space="preserve"> </w:t>
      </w:r>
      <w:r>
        <w:t xml:space="preserve">it is told, so a bug or an injection point becomes impersonation of any user.</w:t>
      </w:r>
    </w:p>
    <w:p>
      <w:pPr>
        <w:pStyle w:val="Compact"/>
        <w:numPr>
          <w:ilvl w:val="0"/>
          <w:numId w:val="1008"/>
        </w:numPr>
      </w:pPr>
      <w:r>
        <w:t xml:space="preserve">Every connection must set the context. A missed one is a silent hole, not an</w:t>
      </w:r>
      <w:r>
        <w:t xml:space="preserve"> </w:t>
      </w:r>
      <w:r>
        <w:t xml:space="preserve">error.</w:t>
      </w:r>
    </w:p>
    <w:p>
      <w:pPr>
        <w:pStyle w:val="Compact"/>
        <w:numPr>
          <w:ilvl w:val="0"/>
          <w:numId w:val="1008"/>
        </w:numPr>
      </w:pPr>
      <w:r>
        <w:t xml:space="preserve">Session context survives on a pooled connection, so the reset path has to be</w:t>
      </w:r>
      <w:r>
        <w:t xml:space="preserve"> </w:t>
      </w:r>
      <w:r>
        <w:t xml:space="preserve">right.</w:t>
      </w:r>
    </w:p>
    <w:p>
      <w:pPr>
        <w:pStyle w:val="Compact"/>
        <w:numPr>
          <w:ilvl w:val="0"/>
          <w:numId w:val="1008"/>
        </w:numPr>
      </w:pPr>
      <w:r>
        <w:t xml:space="preserve">Nothing is auditable against the directory from the database side.</w:t>
      </w:r>
    </w:p>
    <w:p>
      <w:pPr>
        <w:pStyle w:val="FirstParagraph"/>
      </w:pPr>
      <w:r>
        <w:rPr>
          <w:b/>
          <w:bCs/>
        </w:rPr>
        <w:t xml:space="preserve">Use it when</w:t>
      </w:r>
      <w:r>
        <w:t xml:space="preserve"> </w:t>
      </w:r>
      <w:r>
        <w:t xml:space="preserve">the application connects on the user's behalf. If the user's own</w:t>
      </w:r>
      <w:r>
        <w:t xml:space="preserve"> </w:t>
      </w:r>
      <w:r>
        <w:t xml:space="preserve">token opens the connection,</w:t>
      </w:r>
      <w:r>
        <w:t xml:space="preserve"> </w:t>
      </w:r>
      <w:r>
        <w:rPr>
          <w:rStyle w:val="VerbatimChar"/>
        </w:rPr>
        <w:t xml:space="preserve">DATABASE_PRINCIPAL_ID()</w:t>
      </w:r>
      <w:r>
        <w:t xml:space="preserve"> </w:t>
      </w:r>
      <w:r>
        <w:t xml:space="preserve">is stronger and free.</w:t>
      </w:r>
    </w:p>
    <w:p>
      <w:r>
        <w:pict>
          <v:rect style="width:0;height:1.5pt" o:hralign="center" o:hrstd="t" o:hr="t"/>
        </w:pict>
      </w:r>
    </w:p>
    <w:bookmarkEnd w:id="26"/>
    <w:bookmarkStart w:id="27" w:name="what-option-1-costs-to-run"/>
    <w:p>
      <w:pPr>
        <w:pStyle w:val="Heading2"/>
      </w:pPr>
      <w:r>
        <w:t xml:space="preserve">What option 1 costs to run</w:t>
      </w:r>
    </w:p>
    <w:p>
      <w:pPr>
        <w:pStyle w:val="FirstParagraph"/>
      </w:pPr>
      <w:r>
        <w:t xml:space="preserve">Measured on the environment above, with the test user seeing 12,500 of 100,000 rows.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Reads on the data table</w:t>
            </w:r>
          </w:p>
        </w:tc>
        <w:tc>
          <w:tcPr/>
          <w:p>
            <w:pPr>
              <w:pStyle w:val="Compact"/>
            </w:pPr>
            <w:r>
              <w:t xml:space="preserve">Reads on the entitlement tables</w:t>
            </w:r>
          </w:p>
        </w:tc>
        <w:tc>
          <w:tcPr/>
          <w:p>
            <w:pPr>
              <w:pStyle w:val="Compact"/>
            </w:pPr>
            <w:r>
              <w:t xml:space="preserve">Elapsed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Paged list,</w:t>
            </w:r>
            <w:r>
              <w:t xml:space="preserve"> </w:t>
            </w:r>
            <w:r>
              <w:rPr>
                <w:rStyle w:val="VerbatimChar"/>
              </w:rPr>
              <w:t xml:space="preserve">TOP 50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row by primary key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over everything visible</w:t>
            </w:r>
          </w:p>
        </w:tc>
        <w:tc>
          <w:tcPr/>
          <w:p>
            <w:pPr>
              <w:pStyle w:val="Compact"/>
            </w:pPr>
            <w:r>
              <w:t xml:space="preserve">1,314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4,247 ms</w:t>
            </w:r>
          </w:p>
        </w:tc>
      </w:tr>
    </w:tbl>
    <w:p>
      <w:pPr>
        <w:pStyle w:val="BodyText"/>
      </w:pPr>
      <w:r>
        <w:t xml:space="preserve">The first two are the queries an API typically issues. The predicate is effectively</w:t>
      </w:r>
      <w:r>
        <w:t xml:space="preserve"> </w:t>
      </w:r>
      <w:r>
        <w:t xml:space="preserve">free at that shape, because the clustered key turns the check into a seek.</w:t>
      </w:r>
    </w:p>
    <w:p>
      <w:pPr>
        <w:pStyle w:val="BodyText"/>
      </w:pPr>
      <w:r>
        <w:t xml:space="preserve">The third row is the one to plan around. The predicate is evaluated per candidate</w:t>
      </w:r>
      <w:r>
        <w:t xml:space="preserve"> </w:t>
      </w:r>
      <w:r>
        <w:t xml:space="preserve">row, so a full scan costs roughly two logical reads per row against the entitlement</w:t>
      </w:r>
      <w:r>
        <w:t xml:space="preserve"> </w:t>
      </w:r>
      <w:r>
        <w:t xml:space="preserve">table. A security predicate remains a join even though it does not appear in the</w:t>
      </w:r>
      <w:r>
        <w:t xml:space="preserve"> </w:t>
      </w:r>
      <w:r>
        <w:t xml:space="preserve">query text, and whole-table aggregates are better served from a summary table.</w:t>
      </w:r>
    </w:p>
    <w:p>
      <w:pPr>
        <w:pStyle w:val="BodyText"/>
      </w:pPr>
      <w:r>
        <w:t xml:space="preserve">For comparison, the setup cost of option 2:</w:t>
      </w:r>
      <w:r>
        <w:t xml:space="preserve"> </w:t>
      </w:r>
      <w:r>
        <w:rPr>
          <w:rStyle w:val="VerbatimChar"/>
        </w:rPr>
        <w:t xml:space="preserve">CREATE USER ... FROM EXTERNAL PROVIDER</w:t>
      </w:r>
      <w:r>
        <w:t xml:space="preserve"> </w:t>
      </w:r>
      <w:r>
        <w:t xml:space="preserve">measured at 90 ms, so registering 100,000 groups is approximately 2.5 hours per</w:t>
      </w:r>
      <w:r>
        <w:t xml:space="preserve"> </w:t>
      </w:r>
      <w:r>
        <w:t xml:space="preserve">database. That cost recurs for every database and does not end, since the directory</w:t>
      </w:r>
      <w:r>
        <w:t xml:space="preserve"> </w:t>
      </w:r>
      <w:r>
        <w:t xml:space="preserve">continues to change.</w:t>
      </w:r>
    </w:p>
    <w:bookmarkEnd w:id="27"/>
    <w:bookmarkStart w:id="28" w:name="limits-that-apply-regardless"/>
    <w:p>
      <w:pPr>
        <w:pStyle w:val="Heading2"/>
      </w:pPr>
      <w:r>
        <w:t xml:space="preserve">Limits that apply regardless</w:t>
      </w:r>
    </w:p>
    <w:p>
      <w:pPr>
        <w:pStyle w:val="FirstParagraph"/>
      </w:pPr>
      <w:r>
        <w:t xml:space="preserve">All three limits are per user, and none is affected by how many groups exist in the</w:t>
      </w:r>
      <w:r>
        <w:t xml:space="preserve"> </w:t>
      </w:r>
      <w:r>
        <w:t xml:space="preserve">tenant.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SQL login</w:t>
            </w:r>
          </w:p>
        </w:tc>
        <w:tc>
          <w:tcPr/>
          <w:p>
            <w:pPr>
              <w:pStyle w:val="Compact"/>
            </w:pPr>
            <w:r>
              <w:t xml:space="preserve">2,048 groups</w:t>
            </w:r>
          </w:p>
        </w:tc>
        <w:tc>
          <w:tcPr/>
          <w:p>
            <w:pPr>
              <w:pStyle w:val="Compact"/>
            </w:pPr>
            <w:r>
              <w:t xml:space="preserve">The user cannot connect at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 membership</w:t>
            </w:r>
          </w:p>
        </w:tc>
        <w:tc>
          <w:tcPr/>
          <w:p>
            <w:pPr>
              <w:pStyle w:val="Compact"/>
            </w:pPr>
            <w:r>
              <w:t xml:space="preserve">7,000 groups</w:t>
            </w:r>
          </w:p>
        </w:tc>
        <w:tc>
          <w:tcPr/>
          <w:p>
            <w:pPr>
              <w:pStyle w:val="Compact"/>
            </w:pPr>
            <w:r>
              <w:t xml:space="preserve">Cannot be added to more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 </w:t>
            </w: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200 groups</w:t>
            </w:r>
          </w:p>
        </w:tc>
        <w:tc>
          <w:tcPr/>
          <w:p>
            <w:pPr>
              <w:pStyle w:val="Compact"/>
            </w:pPr>
            <w:r>
              <w:t xml:space="preserve">Claim omitted, overage claim returned instead</w:t>
            </w:r>
          </w:p>
        </w:tc>
      </w:tr>
    </w:tbl>
    <w:p>
      <w:pPr>
        <w:pStyle w:val="BodyText"/>
      </w:pPr>
      <w:r>
        <w:t xml:space="preserve">The JWT limit does not apply to any of these options. Azure SQL resolves group</w:t>
      </w:r>
      <w:r>
        <w:t xml:space="preserve"> </w:t>
      </w:r>
      <w:r>
        <w:t xml:space="preserve">membership itself at login and does not read the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claim from the token.</w:t>
      </w:r>
    </w:p>
    <w:p>
      <w:pPr>
        <w:pStyle w:val="BodyText"/>
      </w:pPr>
      <w:r>
        <w:t xml:space="preserve">The 2,048 limit is a login constraint rather than an authorization one. A user who</w:t>
      </w:r>
      <w:r>
        <w:t xml:space="preserve"> </w:t>
      </w:r>
      <w:r>
        <w:t xml:space="preserve">exceeds it is addressed by option 4, not by changing how rows are filtered. A</w:t>
      </w:r>
      <w:r>
        <w:t xml:space="preserve"> </w:t>
      </w:r>
      <w:r>
        <w:t xml:space="preserve">membership table holds any number of groups per user without difficulty.</w:t>
      </w:r>
    </w:p>
    <w:bookmarkEnd w:id="28"/>
    <w:bookmarkStart w:id="29" w:name="which-one-to-pick"/>
    <w:p>
      <w:pPr>
        <w:pStyle w:val="Heading2"/>
      </w:pPr>
      <w:r>
        <w:t xml:space="preserve">Which one to pick</w:t>
      </w:r>
    </w:p>
    <w:p>
      <w:pPr>
        <w:pStyle w:val="Compact"/>
        <w:numPr>
          <w:ilvl w:val="0"/>
          <w:numId w:val="1009"/>
        </w:numPr>
      </w:pPr>
      <w:r>
        <w:t xml:space="preserve">Groups in the thousands or more, user's own token opens the connection:</w:t>
      </w:r>
      <w:r>
        <w:t xml:space="preserve"> </w:t>
      </w:r>
      <w:r>
        <w:rPr>
          <w:b/>
          <w:bCs/>
        </w:rPr>
        <w:t xml:space="preserve">option 1</w:t>
      </w:r>
      <w:r>
        <w:t xml:space="preserve">.</w:t>
      </w:r>
      <w:r>
        <w:t xml:space="preserve"> </w:t>
      </w:r>
      <w:r>
        <w:t xml:space="preserve">The only cost is a sync job, and option 2 needs one anyway.</w:t>
      </w:r>
    </w:p>
    <w:p>
      <w:pPr>
        <w:pStyle w:val="Compact"/>
        <w:numPr>
          <w:ilvl w:val="0"/>
          <w:numId w:val="1009"/>
        </w:numPr>
      </w:pPr>
      <w:r>
        <w:t xml:space="preserve">A small, stable set of groups:</w:t>
      </w:r>
      <w:r>
        <w:t xml:space="preserve"> </w:t>
      </w:r>
      <w:r>
        <w:rPr>
          <w:b/>
          <w:bCs/>
        </w:rPr>
        <w:t xml:space="preserve">option 2</w:t>
      </w:r>
      <w:r>
        <w:t xml:space="preserve">. Fewer moving parts.</w:t>
      </w:r>
    </w:p>
    <w:p>
      <w:pPr>
        <w:pStyle w:val="Compact"/>
        <w:numPr>
          <w:ilvl w:val="0"/>
          <w:numId w:val="1009"/>
        </w:numPr>
      </w:pPr>
      <w:r>
        <w:t xml:space="preserve">The check sits in a stored procedure rather than in RLS:</w:t>
      </w:r>
      <w:r>
        <w:t xml:space="preserve"> </w:t>
      </w:r>
      <w:r>
        <w:rPr>
          <w:b/>
          <w:bCs/>
        </w:rPr>
        <w:t xml:space="preserve">option 3</w:t>
      </w:r>
      <w:r>
        <w:t xml:space="preserve">. It is the</w:t>
      </w:r>
      <w:r>
        <w:t xml:space="preserve"> </w:t>
      </w:r>
      <w:r>
        <w:t xml:space="preserve">cleanest membership read available and needs no setup at all.</w:t>
      </w:r>
    </w:p>
    <w:p>
      <w:pPr>
        <w:pStyle w:val="Compact"/>
        <w:numPr>
          <w:ilvl w:val="0"/>
          <w:numId w:val="1009"/>
        </w:numPr>
      </w:pPr>
      <w:r>
        <w:t xml:space="preserve">The application connects on the user's behalf, or concurrency is high, or anyone</w:t>
      </w:r>
      <w:r>
        <w:t xml:space="preserve"> </w:t>
      </w:r>
      <w:r>
        <w:t xml:space="preserve">is near 2,048 groups:</w:t>
      </w:r>
      <w:r>
        <w:t xml:space="preserve"> </w:t>
      </w:r>
      <w:r>
        <w:rPr>
          <w:b/>
          <w:bCs/>
        </w:rPr>
        <w:t xml:space="preserve">option 4</w:t>
      </w:r>
      <w:r>
        <w:t xml:space="preserve">, with option 1's table behind it.</w: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difficulty in this problem is not row-level security itself. A predicate is</w:t>
      </w:r>
      <w:r>
        <w:t xml:space="preserve"> </w:t>
      </w:r>
      <w:r>
        <w:t xml:space="preserve">ordinary T-SQL and can only use facts the database already holds, and no database</w:t>
      </w:r>
      <w:r>
        <w:t xml:space="preserve"> </w:t>
      </w:r>
      <w:r>
        <w:t xml:space="preserve">can call an identity provider in the middle of a statement. Each option is therefore</w:t>
      </w:r>
      <w:r>
        <w:t xml:space="preserve"> </w:t>
      </w:r>
      <w:r>
        <w:t xml:space="preserve">a way of making membership available in advance.</w:t>
      </w:r>
    </w:p>
    <w:p>
      <w:pPr>
        <w:pStyle w:val="BodyText"/>
      </w:pPr>
      <w:r>
        <w:t xml:space="preserve">The three membership options succeed or fail for different reasons, and none of them</w:t>
      </w:r>
      <w:r>
        <w:t xml:space="preserve"> </w:t>
      </w:r>
      <w:r>
        <w:t xml:space="preserve">for lack of data. Option 2 holds the data but reaches it by display name, which</w:t>
      </w:r>
      <w:r>
        <w:t xml:space="preserve"> </w:t>
      </w:r>
      <w:r>
        <w:t xml:space="preserve">requires a database principal per group and breaks silently when a group is renamed.</w:t>
      </w:r>
      <w:r>
        <w:t xml:space="preserve"> </w:t>
      </w:r>
      <w:r>
        <w:t xml:space="preserve">Option 3 holds the data in the ideal form, object IDs, and is prevented from use</w:t>
      </w:r>
      <w:r>
        <w:t xml:space="preserve"> </w:t>
      </w:r>
      <w:r>
        <w:t xml:space="preserve">only by schema binding. Option 1 places those same object IDs in an ordinary table,</w:t>
      </w:r>
      <w:r>
        <w:t xml:space="preserve"> </w:t>
      </w:r>
      <w:r>
        <w:t xml:space="preserve">where a predicate can seek on them, at the cost of a job that keeps it current.</w:t>
      </w:r>
    </w:p>
    <w:p>
      <w:pPr>
        <w:pStyle w:val="BodyText"/>
      </w:pPr>
      <w:r>
        <w:t xml:space="preserve">Three observations apply beyond this comparison.</w:t>
      </w:r>
    </w:p>
    <w:p>
      <w:pPr>
        <w:pStyle w:val="BodyText"/>
      </w:pPr>
      <w:r>
        <w:rPr>
          <w:b/>
          <w:bCs/>
        </w:rPr>
        <w:t xml:space="preserve">Identity taken from the connection is stronger than identity asserted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application.</w:t>
      </w:r>
      <w:r>
        <w:t xml:space="preserve"> </w:t>
      </w:r>
      <w:r>
        <w:t xml:space="preserve">When the user's own token opens the connection, the application sits</w:t>
      </w:r>
      <w:r>
        <w:t xml:space="preserve"> </w:t>
      </w:r>
      <w:r>
        <w:t xml:space="preserve">outside the security boundary. This is what distinguishes option 4 from the others,</w:t>
      </w:r>
      <w:r>
        <w:t xml:space="preserve"> </w:t>
      </w:r>
      <w:r>
        <w:t xml:space="preserve">and why it is better treated as a fallback than a default.</w:t>
      </w:r>
    </w:p>
    <w:p>
      <w:pPr>
        <w:pStyle w:val="BodyText"/>
      </w:pPr>
      <w:r>
        <w:rPr>
          <w:b/>
          <w:bCs/>
        </w:rPr>
        <w:t xml:space="preserve">Reads and writes are separate decisions.</w:t>
      </w:r>
      <w:r>
        <w:t xml:space="preserve"> </w:t>
      </w:r>
      <w:r>
        <w:t xml:space="preserve">A FILTER predicate governs visibility</w:t>
      </w:r>
      <w:r>
        <w:t xml:space="preserve"> </w:t>
      </w:r>
      <w:r>
        <w:t xml:space="preserve">and a BLOCK predicate governs modification, and nothing requires the two to agree. A</w:t>
      </w:r>
      <w:r>
        <w:t xml:space="preserve"> </w:t>
      </w:r>
      <w:r>
        <w:t xml:space="preserve">user granted write access to a project they cannot read will insert rows they cannot</w:t>
      </w:r>
      <w:r>
        <w:t xml:space="preserve"> </w:t>
      </w:r>
      <w:r>
        <w:t xml:space="preserve">subsequently see. Whether that is desirable is worth deciding explicitly.</w:t>
      </w:r>
    </w:p>
    <w:p>
      <w:pPr>
        <w:pStyle w:val="BodyText"/>
      </w:pPr>
      <w:r>
        <w:rPr>
          <w:b/>
          <w:bCs/>
        </w:rPr>
        <w:t xml:space="preserve">A group count in six figures is worth examining.</w:t>
      </w:r>
      <w:r>
        <w:t xml:space="preserve"> </w:t>
      </w:r>
      <w:r>
        <w:t xml:space="preserve">It can indicate that the</w:t>
      </w:r>
      <w:r>
        <w:t xml:space="preserve"> </w:t>
      </w:r>
      <w:r>
        <w:t xml:space="preserve">directory is being used to store per-object permissions. Entra groups are designed</w:t>
      </w:r>
      <w:r>
        <w:t xml:space="preserve"> </w:t>
      </w:r>
      <w:r>
        <w:t xml:space="preserve">for organisational membership, with governance, access reviews and lifecycle</w:t>
      </w:r>
      <w:r>
        <w:t xml:space="preserve"> </w:t>
      </w:r>
      <w:r>
        <w:t xml:space="preserve">attached, and those features carry overhead that per-object entitlements do not</w:t>
      </w:r>
      <w:r>
        <w:t xml:space="preserve"> </w:t>
      </w:r>
      <w:r>
        <w:t xml:space="preserve">need. One established middle ground is a smaller number of groups for organisational</w:t>
      </w:r>
      <w:r>
        <w:t xml:space="preserve"> </w:t>
      </w:r>
      <w:r>
        <w:t xml:space="preserve">roles, with fine-grained permissions modelled as data.</w:t>
      </w:r>
    </w:p>
    <w:p>
      <w:pPr>
        <w:pStyle w:val="BodyText"/>
      </w:pPr>
      <w:r>
        <w:t xml:space="preserve">Two questions determine the rest. Does the user's own token open the connection, or</w:t>
      </w:r>
      <w:r>
        <w:t xml:space="preserve"> </w:t>
      </w:r>
      <w:r>
        <w:t xml:space="preserve">does an application connect on their behalf? That decides between</w:t>
      </w:r>
      <w:r>
        <w:t xml:space="preserve"> </w:t>
      </w:r>
      <w:r>
        <w:rPr>
          <w:rStyle w:val="VerbatimChar"/>
        </w:rPr>
        <w:t xml:space="preserve">DATABASE_PRINCIPAL_ID()</w:t>
      </w:r>
      <w:r>
        <w:t xml:space="preserve"> </w:t>
      </w:r>
      <w:r>
        <w:t xml:space="preserve">and option 4. And how quickly must removal from a group</w:t>
      </w:r>
      <w:r>
        <w:t xml:space="preserve"> </w:t>
      </w:r>
      <w:r>
        <w:t xml:space="preserve">withdraw access? That sets the sync interval. Both are worth settling before</w:t>
      </w:r>
      <w:r>
        <w:t xml:space="preserve"> </w:t>
      </w:r>
      <w:r>
        <w:t xml:space="preserve">implementation begins.</w:t>
      </w:r>
    </w:p>
    <w:bookmarkEnd w:id="30"/>
    <w:bookmarkStart w:id="32" w:name="reference-implementation"/>
    <w:p>
      <w:pPr>
        <w:pStyle w:val="Heading2"/>
      </w:pPr>
      <w:r>
        <w:t xml:space="preserve">Reference implementation</w:t>
      </w:r>
    </w:p>
    <w:p>
      <w:pPr>
        <w:pStyle w:val="FirstParagraph"/>
      </w:pPr>
      <w:r>
        <w:t xml:space="preserve">A working implementation, including the enforcement tests and the benchmark that</w:t>
      </w:r>
      <w:r>
        <w:t xml:space="preserve"> </w:t>
      </w:r>
      <w:r>
        <w:t xml:space="preserve">produced these figures, is available at</w:t>
      </w:r>
      <w:r>
        <w:t xml:space="preserve"> </w:t>
      </w:r>
      <w:hyperlink r:id="rId31">
        <w:r>
          <w:rPr>
            <w:rStyle w:val="Hyperlink"/>
          </w:rPr>
          <w:t xml:space="preserve">Hanifff/azure-sql-rls-entra-groups</w:t>
        </w:r>
      </w:hyperlink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github.com/Hanifff/azure-sql-rls-entra-group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Hanifff/azure-sql-rls-entra-group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2026-08-27T06:43:16Z</dcterms:created>
  <dcterms:modified xsi:type="dcterms:W3CDTF">2026-08-27T06:43:16Z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