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pPr>
    </w:p>
    <w:p>
      <w:pPr>
        <w:spacing w:after="80"/>
      </w:pPr>
    </w:p>
    <w:p>
      <w:pPr>
        <w:spacing w:after="80"/>
      </w:pPr>
    </w:p>
    <w:p>
      <w:pPr>
        <w:spacing w:after="80"/>
      </w:pPr>
    </w:p>
    <w:p>
      <w:pPr>
        <w:spacing w:after="80"/>
      </w:pPr>
    </w:p>
    <w:p>
      <w:pPr>
        <w:spacing w:after="200"/>
        <w:jc w:val="center"/>
      </w:pPr>
      <w:r>
        <w:rPr>
          <w:rFonts w:ascii="Times New Roman" w:hAnsi="Times New Roman" w:eastAsia="Times New Roman" w:cs="Times New Roman"/>
          <w:b/>
          <w:bCs/>
          <w:sz w:val="36"/>
          <w:szCs w:val="36"/>
        </w:rPr>
        <w:t>Statistical Inference and Stability Boundaries of</w:t>
      </w:r>
    </w:p>
    <w:p>
      <w:pPr>
        <w:spacing w:after="200"/>
        <w:jc w:val="center"/>
      </w:pPr>
      <w:r>
        <w:rPr>
          <w:rFonts w:ascii="Times New Roman" w:hAnsi="Times New Roman" w:eastAsia="Times New Roman" w:cs="Times New Roman"/>
          <w:b/>
          <w:bCs/>
          <w:sz w:val="36"/>
          <w:szCs w:val="36"/>
        </w:rPr>
        <w:t>Multi-cellular Interaction Hypergraphs</w:t>
      </w:r>
    </w:p>
    <w:p>
      <w:pPr>
        <w:spacing w:after="400"/>
        <w:jc w:val="center"/>
      </w:pPr>
      <w:r>
        <w:rPr>
          <w:rFonts w:ascii="Times New Roman" w:hAnsi="Times New Roman" w:eastAsia="Times New Roman" w:cs="Times New Roman"/>
          <w:b/>
          <w:bCs/>
          <w:sz w:val="36"/>
          <w:szCs w:val="36"/>
        </w:rPr>
        <w:t>from Asynchronous Event Streams</w:t>
      </w:r>
    </w:p>
    <w:p>
      <w:pPr>
        <w:spacing w:after="80"/>
      </w:pPr>
    </w:p>
    <w:p>
      <w:pPr>
        <w:spacing w:after="120"/>
        <w:jc w:val="center"/>
      </w:pPr>
      <w:r>
        <w:rPr>
          <w:rFonts w:ascii="Times New Roman" w:hAnsi="Times New Roman" w:eastAsia="Times New Roman" w:cs="Times New Roman"/>
          <w:sz w:val="28"/>
          <w:szCs w:val="28"/>
        </w:rPr>
        <w:t>Zihan Xu</w:t>
      </w:r>
    </w:p>
    <w:p>
      <w:pPr>
        <w:spacing w:after="80"/>
      </w:pPr>
    </w:p>
    <w:p>
      <w:pPr>
        <w:spacing w:after="80"/>
      </w:pPr>
    </w:p>
    <w:p>
      <w:pPr>
        <w:spacing w:after="120"/>
        <w:jc w:val="center"/>
      </w:pPr>
      <w:r>
        <w:rPr>
          <w:rFonts w:ascii="Times New Roman" w:hAnsi="Times New Roman" w:eastAsia="Times New Roman" w:cs="Times New Roman"/>
          <w:sz w:val="24"/>
          <w:szCs w:val="24"/>
        </w:rPr>
        <w:t>Research Report</w:t>
      </w:r>
    </w:p>
    <w:p>
      <w:pPr>
        <w:spacing w:after="120"/>
        <w:jc w:val="center"/>
      </w:pPr>
      <w:r>
        <w:rPr>
          <w:rFonts w:ascii="Times New Roman" w:hAnsi="Times New Roman" w:eastAsia="Times New Roman" w:cs="Times New Roman"/>
          <w:sz w:val="24"/>
          <w:szCs w:val="24"/>
        </w:rPr>
        <w:t>April 2026</w:t>
      </w:r>
    </w:p>
    <w:p>
      <w:r>
        <w:br w:type="page"/>
      </w:r>
    </w:p>
    <w:p>
      <w:pPr>
        <w:pStyle w:val="2"/>
      </w:pPr>
      <w:r>
        <w:t>Abstract</w:t>
      </w:r>
    </w:p>
    <w:p>
      <w:pPr>
        <w:spacing w:after="160" w:line="320" w:lineRule="auto"/>
        <w:jc w:val="both"/>
      </w:pPr>
      <w:r>
        <w:rPr>
          <w:rFonts w:ascii="Times New Roman" w:hAnsi="Times New Roman" w:eastAsia="Times New Roman" w:cs="Times New Roman"/>
          <w:sz w:val="24"/>
          <w:szCs w:val="24"/>
        </w:rPr>
        <w:t>We propose and implement a complete inference framework for recovering higher-order (hyperedge) interaction structure in multi-cellular systems from asynchronous event-time data. The core model is a Hyperedge-triggered Hawkes (HTH) process, in which the firing of one cell is influenced not only by pairwise excitation from individual neighbours but also by the simultaneous co-activation of groups of cells within a short temporal window. We derive a closed-form Expectation-Maximisation (EM) algorithm with a piecewise compensator that correctly accounts for the most-recent-anchor semantics of pattern completion. A CP tensor decomposition constrains the hyperedge parameter space from exponential to linear in the number of nodes.</w:t>
      </w:r>
    </w:p>
    <w:p>
      <w:pPr>
        <w:spacing w:after="160" w:line="320" w:lineRule="auto"/>
        <w:jc w:val="both"/>
      </w:pPr>
      <w:r>
        <w:rPr>
          <w:rFonts w:ascii="Times New Roman" w:hAnsi="Times New Roman" w:eastAsia="Times New Roman" w:cs="Times New Roman"/>
          <w:sz w:val="24"/>
          <w:szCs w:val="24"/>
        </w:rPr>
        <w:t>We validate the framework through ten experiments on synthetic data, demonstrating parameter recovery (relative error below 5% for pairwise terms, systematic -22% bias for hyperedge weights attributable to EM-thinning interaction), model selection via AIC/BIC, phase-transition detection, and independent copula-based verification. The time-window hyperparameter Delta is shown to be identifiable from the data via likelihood maximisation, and the computational cost scales as O(n^2) in the number of events, consistent with theoretical prediction.</w:t>
      </w:r>
    </w:p>
    <w:p>
      <w:pPr>
        <w:spacing w:after="160" w:line="320" w:lineRule="auto"/>
        <w:jc w:val="both"/>
      </w:pPr>
      <w:r>
        <w:rPr>
          <w:rFonts w:ascii="Times New Roman" w:hAnsi="Times New Roman" w:eastAsia="Times New Roman" w:cs="Times New Roman"/>
          <w:sz w:val="24"/>
          <w:szCs w:val="24"/>
        </w:rPr>
        <w:t xml:space="preserve">We apply the framework to real multi-electrode array recordings of mouse retinal ganglion cells (CRCNS ret-1 dataset, Harvard). The HTH model achieves a +20.6 nat likelihood gain over the pairwise-only baseline, but BIC does not support the additional complexity, indicating suggestive but not decisive evidence for higher-order interactions. This </w:t>
      </w:r>
      <w:r>
        <w:rPr>
          <w:rFonts w:hint="eastAsia" w:ascii="Times New Roman" w:hAnsi="Times New Roman" w:eastAsia="Times New Roman" w:cs="Times New Roman"/>
          <w:sz w:val="24"/>
          <w:szCs w:val="24"/>
        </w:rPr>
        <w:t>transparent reporting</w:t>
      </w:r>
      <w:r>
        <w:rPr>
          <w:rFonts w:ascii="Times New Roman" w:hAnsi="Times New Roman" w:eastAsia="Times New Roman" w:cs="Times New Roman"/>
          <w:sz w:val="24"/>
          <w:szCs w:val="24"/>
        </w:rPr>
        <w:t xml:space="preserve"> of both strengths and limitations demonstrates that the framework does not hallucinate structure when evidence is marginal.</w:t>
      </w:r>
    </w:p>
    <w:p>
      <w:r>
        <w:br w:type="page"/>
      </w:r>
    </w:p>
    <w:p>
      <w:pPr>
        <w:pStyle w:val="2"/>
      </w:pPr>
      <w:r>
        <w:t>1. Introduction</w:t>
      </w:r>
    </w:p>
    <w:p>
      <w:pPr>
        <w:pStyle w:val="3"/>
      </w:pPr>
      <w:r>
        <w:t>1.1 Motivation</w:t>
      </w:r>
    </w:p>
    <w:p>
      <w:pPr>
        <w:spacing w:after="160" w:line="320" w:lineRule="auto"/>
        <w:jc w:val="both"/>
      </w:pPr>
      <w:r>
        <w:rPr>
          <w:rFonts w:ascii="Times New Roman" w:hAnsi="Times New Roman" w:eastAsia="Times New Roman" w:cs="Times New Roman"/>
          <w:sz w:val="24"/>
          <w:szCs w:val="24"/>
        </w:rPr>
        <w:t>Multi-cellular biological systems exhibit collective behaviours that cannot be explained by pairwise interactions alone. When three or more cells fire in close temporal proximity and this co-activation triggers downstream responses, the underlying interaction is inherently higher-order. Standard Hawkes process models, which decompose the conditional intensity into a sum of pairwise contributions, are structurally unable to capture such group effects. This gap motivates the development of inference methods that can detect and quantify hyperedge interactions from observed event streams.</w:t>
      </w:r>
    </w:p>
    <w:p>
      <w:pPr>
        <w:pStyle w:val="3"/>
      </w:pPr>
      <w:r>
        <w:t>1.2 Core Thesis</w:t>
      </w:r>
    </w:p>
    <w:p>
      <w:pPr>
        <w:spacing w:after="160" w:line="320" w:lineRule="auto"/>
        <w:jc w:val="both"/>
      </w:pPr>
      <w:r>
        <w:rPr>
          <w:rFonts w:ascii="Times New Roman" w:hAnsi="Times New Roman" w:eastAsia="Times New Roman" w:cs="Times New Roman"/>
          <w:sz w:val="24"/>
          <w:szCs w:val="24"/>
        </w:rPr>
        <w:t>We propose the following falsifiable claim: there exists a critical interaction strength beyond which the system transitions from a regime of stable, self-correcting dynamics to one of cascade bursts. This transition is detectable from the data as a divergence in the spectral radius of the inferred interaction matrix, and the presence of a true hyperedge interaction is identifiable via a statistically significant likelihood gain relative to a pairwise-only null model.</w:t>
      </w:r>
    </w:p>
    <w:p>
      <w:pPr>
        <w:pStyle w:val="3"/>
      </w:pPr>
      <w:r>
        <w:t>1.3 Contributions</w:t>
      </w:r>
    </w:p>
    <w:p>
      <w:pPr>
        <w:spacing w:after="160" w:line="320" w:lineRule="auto"/>
        <w:jc w:val="both"/>
      </w:pPr>
      <w:r>
        <w:rPr>
          <w:rFonts w:ascii="Times New Roman" w:hAnsi="Times New Roman" w:eastAsia="Times New Roman" w:cs="Times New Roman"/>
          <w:sz w:val="24"/>
          <w:szCs w:val="24"/>
        </w:rPr>
        <w:t xml:space="preserve">This work makes four contributions. First, a mathematically rigorous HTH intensity model with a pattern-completion anchor definition using the max operator, enabling reusable anchor semantics and tractable likelihood computation. Second, a closed-form EM algorithm with a piecewise compensator that eliminates a systematic bias present in the naive sum-to-T integral formulation. Third, a CP tensor decomposition that reduces the hyperedge parameter count from O(N^K) to O(NR). Fourth, a comprehensive experimental validation comprising </w:t>
      </w:r>
      <w:r>
        <w:rPr>
          <w:rFonts w:hint="eastAsia" w:ascii="Times New Roman" w:hAnsi="Times New Roman" w:eastAsia="Times New Roman" w:cs="Times New Roman"/>
          <w:sz w:val="24"/>
          <w:szCs w:val="24"/>
        </w:rPr>
        <w:t>ten controlled experiments on synthetic data and one real-data application</w:t>
      </w:r>
      <w:r>
        <w:rPr>
          <w:rFonts w:ascii="Times New Roman" w:hAnsi="Times New Roman" w:eastAsia="Times New Roman" w:cs="Times New Roman"/>
          <w:sz w:val="24"/>
          <w:szCs w:val="24"/>
        </w:rPr>
        <w:t xml:space="preserve"> that collectively address recovery accuracy, model selection, phase transitions, independent statistical verification, higher-order generalisation, falsifiability, hyperparameter identifiability, computational scalability, and real-data application.</w:t>
      </w:r>
    </w:p>
    <w:p>
      <w:r>
        <w:br w:type="page"/>
      </w:r>
    </w:p>
    <w:p>
      <w:pPr>
        <w:pStyle w:val="2"/>
      </w:pPr>
      <w:r>
        <w:t>2. Mathematical Formulation</w:t>
      </w:r>
    </w:p>
    <w:p>
      <w:pPr>
        <w:pStyle w:val="3"/>
      </w:pPr>
      <w:r>
        <w:t>2.1 HTH Intensity Function</w:t>
      </w:r>
    </w:p>
    <w:p>
      <w:pPr>
        <w:spacing w:after="160" w:line="320" w:lineRule="auto"/>
        <w:jc w:val="both"/>
      </w:pPr>
      <w:r>
        <w:rPr>
          <w:rFonts w:ascii="Times New Roman" w:hAnsi="Times New Roman" w:eastAsia="Times New Roman" w:cs="Times New Roman"/>
          <w:sz w:val="24"/>
          <w:szCs w:val="24"/>
        </w:rPr>
        <w:t>The conditional intensity for node n at time t given the event history is defined as the sum of three components: a baseline rate mu_n, a pairwise excitation term summing over all prior events with exponential kernel decay, and a hyperedge contribution triggered by the most recent pattern completion of each hyperedge containing node n. The exponential kernel phi(tau) = exp(-beta*tau) governs the temporal decay of both pairwise and hyperedge influences.</w:t>
      </w:r>
    </w:p>
    <w:p>
      <w:pPr>
        <w:pStyle w:val="3"/>
      </w:pPr>
      <w:r>
        <w:t>2.2 Pattern-Completion Anchor</w:t>
      </w:r>
    </w:p>
    <w:p>
      <w:pPr>
        <w:spacing w:after="160" w:line="320" w:lineRule="auto"/>
        <w:jc w:val="both"/>
      </w:pPr>
      <w:r>
        <w:rPr>
          <w:rFonts w:ascii="Times New Roman" w:hAnsi="Times New Roman" w:eastAsia="Times New Roman" w:cs="Times New Roman"/>
          <w:sz w:val="24"/>
          <w:szCs w:val="24"/>
        </w:rPr>
        <w:t>For a hyperedge e = {v_1, ..., v_K}, a pattern completion occurs at time t_c if every member of e has fired at least once in the interval [t_c - Delta, t_c], where Delta is the temporal window width. The anchor time t_anchor(e, t) is defined as the most recent such completion before time t. This most-recent-anchor semantics ensures that only the latest completion contributes to the current intensity, preventing double-counting and ensuring likelihood tractability.</w:t>
      </w:r>
    </w:p>
    <w:p>
      <w:pPr>
        <w:pStyle w:val="3"/>
      </w:pPr>
      <w:r>
        <w:t>2.3 CP Tensor Decomposition</w:t>
      </w:r>
    </w:p>
    <w:p>
      <w:pPr>
        <w:spacing w:after="160" w:line="320" w:lineRule="auto"/>
        <w:jc w:val="both"/>
      </w:pPr>
      <w:r>
        <w:rPr>
          <w:rFonts w:ascii="Times New Roman" w:hAnsi="Times New Roman" w:eastAsia="Times New Roman" w:cs="Times New Roman"/>
          <w:sz w:val="24"/>
          <w:szCs w:val="24"/>
        </w:rPr>
        <w:t>The hyperedge weight alpha_e is parameterised via a rank-R CP decomposition: alpha_e = sum_r product_{v in e} F[v, r], where F is an N-by-R non-negative factor matrix. This reduces the number of free parameters from O(N^K) to O(NR), making inference tractable for moderate network sizes while preserving the ability to represent arbitrary interaction patterns.</w:t>
      </w:r>
    </w:p>
    <w:p>
      <w:pPr>
        <w:pStyle w:val="3"/>
      </w:pPr>
      <w:r>
        <w:t>2.4 Piecewise Compensator</w:t>
      </w:r>
    </w:p>
    <w:p>
      <w:pPr>
        <w:spacing w:after="160" w:line="320" w:lineRule="auto"/>
        <w:jc w:val="both"/>
      </w:pPr>
      <w:r>
        <w:rPr>
          <w:rFonts w:ascii="Times New Roman" w:hAnsi="Times New Roman" w:eastAsia="Times New Roman" w:cs="Times New Roman"/>
          <w:sz w:val="24"/>
          <w:szCs w:val="24"/>
        </w:rPr>
        <w:t>The compensator integral for hyperedge e over the observation window [0, T] must account for the fact that each anchor is active only until the next pattern completion. The correct piecewise compensator integrates each anchor's kernel contribution only over its active interval, from t_k to t_{k+1} (or T for the last anchor). The naive formulation, which integrates each anchor independently from its activation time to T, overcounts and produces a systematic downward bias in the inferred alpha_e. This correction was a critical discovery during development, validated by Experiment 7.</w:t>
      </w:r>
    </w:p>
    <w:p>
      <w:r>
        <w:br w:type="page"/>
      </w:r>
    </w:p>
    <w:p>
      <w:pPr>
        <w:pStyle w:val="2"/>
      </w:pPr>
      <w:r>
        <w:t>3. Inference Algorithm</w:t>
      </w:r>
    </w:p>
    <w:p>
      <w:pPr>
        <w:pStyle w:val="3"/>
      </w:pPr>
      <w:r>
        <w:t>3.1 E-Step</w:t>
      </w:r>
    </w:p>
    <w:p>
      <w:pPr>
        <w:spacing w:after="160" w:line="320" w:lineRule="auto"/>
        <w:jc w:val="both"/>
      </w:pPr>
      <w:r>
        <w:rPr>
          <w:rFonts w:ascii="Times New Roman" w:hAnsi="Times New Roman" w:eastAsia="Times New Roman" w:cs="Times New Roman"/>
          <w:sz w:val="24"/>
          <w:szCs w:val="24"/>
        </w:rPr>
        <w:t>The E-step computes soft responsibility assignments for each event, decomposing the probability that event i was generated by one of three sources: the background process, a pairwise excitation from a prior event, or a hyperedge trigger. These responsibilities are normalised to sum to one for each event and are used in the M-step to update parameters.</w:t>
      </w:r>
    </w:p>
    <w:p>
      <w:pPr>
        <w:pStyle w:val="3"/>
      </w:pPr>
      <w:r>
        <w:t>3.2 M-Step</w:t>
      </w:r>
    </w:p>
    <w:p>
      <w:pPr>
        <w:spacing w:after="160" w:line="320" w:lineRule="auto"/>
        <w:jc w:val="both"/>
      </w:pPr>
      <w:r>
        <w:rPr>
          <w:rFonts w:ascii="Times New Roman" w:hAnsi="Times New Roman" w:eastAsia="Times New Roman" w:cs="Times New Roman"/>
          <w:sz w:val="24"/>
          <w:szCs w:val="24"/>
        </w:rPr>
        <w:t>All three parameter types admit closed-form updates derived by setting the gradient of the expected complete-data log-likelihood to zero. The baseline rate mu_n is the ratio of total background responsibility for node n to the observation window T. The pairwise weight alpha_{j,n} is the ratio of pairwise responsibilities to the integrated kernel contribution. The hyperedge weight alpha_e uses the piecewise compensator defined in Section 2.4, with an L1 penalty term lambda_L1 in the denominator to enforce sparsity.</w:t>
      </w:r>
    </w:p>
    <w:p>
      <w:pPr>
        <w:pStyle w:val="3"/>
      </w:pPr>
      <w:r>
        <w:t>3.3 Two-Stage Candidate Generation</w:t>
      </w:r>
    </w:p>
    <w:p>
      <w:pPr>
        <w:spacing w:after="160" w:line="320" w:lineRule="auto"/>
        <w:jc w:val="both"/>
      </w:pPr>
      <w:r>
        <w:rPr>
          <w:rFonts w:ascii="Times New Roman" w:hAnsi="Times New Roman" w:eastAsia="Times New Roman" w:cs="Times New Roman"/>
          <w:sz w:val="24"/>
          <w:szCs w:val="24"/>
        </w:rPr>
        <w:t>To avoid the combinatorial explosion of testing all possible hyperedges, we employ a two-stage filtering strategy. Stage 1 fits a pairwise-only Hawkes model and identifies node pairs with significant mutual excitation. Stage 2 forms candidate hyperedges as cliques in the pairwise graph, then runs the full HTH inference with L1 regularisation to select the surviving edges.</w:t>
      </w:r>
    </w:p>
    <w:p>
      <w:r>
        <w:br w:type="page"/>
      </w:r>
    </w:p>
    <w:p>
      <w:pPr>
        <w:pStyle w:val="2"/>
      </w:pPr>
      <w:r>
        <w:t>4. Experimental Validation: Synthetic Data</w:t>
      </w:r>
    </w:p>
    <w:p>
      <w:pPr>
        <w:spacing w:after="160" w:line="320" w:lineRule="auto"/>
        <w:jc w:val="both"/>
      </w:pPr>
      <w:r>
        <w:rPr>
          <w:rFonts w:ascii="Times New Roman" w:hAnsi="Times New Roman" w:eastAsia="Times New Roman" w:cs="Times New Roman"/>
          <w:sz w:val="24"/>
          <w:szCs w:val="24"/>
        </w:rPr>
        <w:t>All synthetic experiments use data generated by an Ogata thinning simulator with known ground-truth parameters, enabling direct comparison between inferred and true values. We summarise the ten synthetic experiments below.</w:t>
      </w:r>
    </w:p>
    <w:p>
      <w:pPr>
        <w:spacing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6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2C3E50"/>
            <w:tcMar>
              <w:top w:w="60" w:type="dxa"/>
              <w:left w:w="100" w:type="dxa"/>
              <w:bottom w:w="60" w:type="dxa"/>
              <w:right w:w="100" w:type="dxa"/>
            </w:tcMar>
          </w:tcPr>
          <w:p>
            <w:pPr>
              <w:jc w:val="center"/>
            </w:pPr>
            <w:r>
              <w:rPr>
                <w:rFonts w:ascii="Times New Roman" w:hAnsi="Times New Roman" w:eastAsia="Times New Roman" w:cs="Times New Roman"/>
                <w:b/>
                <w:bCs/>
                <w:color w:val="FFFFFF"/>
                <w:sz w:val="20"/>
                <w:szCs w:val="20"/>
              </w:rPr>
              <w:t>Exp</w:t>
            </w:r>
          </w:p>
        </w:tc>
        <w:tc>
          <w:tcPr>
            <w:tcW w:w="3600" w:type="dxa"/>
            <w:tcBorders>
              <w:top w:val="single" w:color="BBBBBB" w:sz="0" w:space="0"/>
              <w:left w:val="single" w:color="BBBBBB" w:sz="0" w:space="0"/>
              <w:bottom w:val="single" w:color="BBBBBB" w:sz="0" w:space="0"/>
              <w:right w:val="single" w:color="BBBBBB" w:sz="0" w:space="0"/>
            </w:tcBorders>
            <w:shd w:val="clear" w:color="auto" w:fill="2C3E50"/>
            <w:tcMar>
              <w:top w:w="60" w:type="dxa"/>
              <w:left w:w="100" w:type="dxa"/>
              <w:bottom w:w="60" w:type="dxa"/>
              <w:right w:w="100" w:type="dxa"/>
            </w:tcMar>
          </w:tcPr>
          <w:p>
            <w:pPr>
              <w:jc w:val="center"/>
            </w:pPr>
            <w:r>
              <w:rPr>
                <w:rFonts w:ascii="Times New Roman" w:hAnsi="Times New Roman" w:eastAsia="Times New Roman" w:cs="Times New Roman"/>
                <w:b/>
                <w:bCs/>
                <w:color w:val="FFFFFF"/>
                <w:sz w:val="20"/>
                <w:szCs w:val="20"/>
              </w:rPr>
              <w:t>Question</w:t>
            </w:r>
          </w:p>
        </w:tc>
        <w:tc>
          <w:tcPr>
            <w:tcW w:w="5160" w:type="dxa"/>
            <w:tcBorders>
              <w:top w:val="single" w:color="BBBBBB" w:sz="0" w:space="0"/>
              <w:left w:val="single" w:color="BBBBBB" w:sz="0" w:space="0"/>
              <w:bottom w:val="single" w:color="BBBBBB" w:sz="0" w:space="0"/>
              <w:right w:val="single" w:color="BBBBBB" w:sz="0" w:space="0"/>
            </w:tcBorders>
            <w:shd w:val="clear" w:color="auto" w:fill="2C3E50"/>
            <w:tcMar>
              <w:top w:w="60" w:type="dxa"/>
              <w:left w:w="100" w:type="dxa"/>
              <w:bottom w:w="60" w:type="dxa"/>
              <w:right w:w="100" w:type="dxa"/>
            </w:tcMar>
          </w:tcPr>
          <w:p>
            <w:pPr>
              <w:jc w:val="center"/>
            </w:pPr>
            <w:r>
              <w:rPr>
                <w:rFonts w:ascii="Times New Roman" w:hAnsi="Times New Roman" w:eastAsia="Times New Roman" w:cs="Times New Roman"/>
                <w:b/>
                <w:bCs/>
                <w:color w:val="FFFFFF"/>
                <w:sz w:val="20"/>
                <w:szCs w:val="20"/>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1</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Parameter recovery (single seed)</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5/5 params within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1b</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Recovery robustness (25 seeds)</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Pairwise &lt; 5% error; hyperedge bias -22%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2</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L1 regularisation path</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True edge persists; AIC/BIC select lambda* = 1.87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3</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Convergence stability</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20/20 inits agree (std = 0.004 nats)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4</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Phase transition detection</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rho(A) crosses 1; 24% systematic 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5</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Copula validation</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p &lt; 0.001 vs null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6</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3-node hyperedge generalisation</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9% error; 4/4 decoys rejected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7</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Falsifiability (likelihood gap)</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DeltaL = +8.64 when true; -0.03 when absent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8</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Delta identifiability</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logL sharply peaked at true Delta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left"/>
            </w:pPr>
            <w:r>
              <w:rPr>
                <w:rFonts w:ascii="Times New Roman" w:hAnsi="Times New Roman" w:eastAsia="Times New Roman" w:cs="Times New Roman"/>
                <w:sz w:val="20"/>
                <w:szCs w:val="20"/>
              </w:rPr>
              <w:t>9</w:t>
            </w:r>
          </w:p>
        </w:tc>
        <w:tc>
          <w:tcPr>
            <w:tcW w:w="360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Computational scalability</w:t>
            </w:r>
          </w:p>
        </w:tc>
        <w:tc>
          <w:tcPr>
            <w:tcW w:w="5160" w:type="dxa"/>
            <w:tcBorders>
              <w:top w:val="single" w:color="BBBBBB" w:sz="0" w:space="0"/>
              <w:left w:val="single" w:color="BBBBBB" w:sz="0" w:space="0"/>
              <w:bottom w:val="single" w:color="BBBBBB" w:sz="0" w:space="0"/>
              <w:right w:val="single" w:color="BBBBBB" w:sz="0" w:space="0"/>
            </w:tcBorders>
            <w:tcMar>
              <w:top w:w="40" w:type="dxa"/>
              <w:left w:w="100" w:type="dxa"/>
              <w:bottom w:w="40" w:type="dxa"/>
              <w:right w:w="100" w:type="dxa"/>
            </w:tcMar>
          </w:tcPr>
          <w:p>
            <w:pPr>
              <w:jc w:val="center"/>
            </w:pPr>
            <w:r>
              <w:rPr>
                <w:rFonts w:ascii="Times New Roman" w:hAnsi="Times New Roman" w:eastAsia="Times New Roman" w:cs="Times New Roman"/>
                <w:sz w:val="20"/>
                <w:szCs w:val="20"/>
              </w:rPr>
              <w:t>t ~ n^2.03, matches O(n^2)</w:t>
            </w:r>
          </w:p>
        </w:tc>
      </w:tr>
    </w:tbl>
    <w:p>
      <w:pPr>
        <w:spacing w:after="80"/>
      </w:pPr>
    </w:p>
    <w:p>
      <w:pPr>
        <w:spacing w:before="80" w:after="240"/>
        <w:jc w:val="center"/>
      </w:pPr>
      <w:r>
        <w:rPr>
          <w:rFonts w:ascii="Times New Roman" w:hAnsi="Times New Roman" w:eastAsia="Times New Roman" w:cs="Times New Roman"/>
          <w:i/>
          <w:iCs/>
          <w:color w:val="444444"/>
          <w:sz w:val="22"/>
          <w:szCs w:val="22"/>
        </w:rPr>
        <w:t>Table 1: Summary of synthetic experimental results.</w:t>
      </w:r>
    </w:p>
    <w:p>
      <w:pPr>
        <w:pStyle w:val="3"/>
      </w:pPr>
      <w:r>
        <w:t>4.1 Recovery Demo (Experiment 1)</w:t>
      </w:r>
    </w:p>
    <w:p>
      <w:pPr>
        <w:spacing w:after="160" w:line="320" w:lineRule="auto"/>
        <w:jc w:val="both"/>
      </w:pPr>
      <w:r>
        <w:rPr>
          <w:rFonts w:ascii="Times New Roman" w:hAnsi="Times New Roman" w:eastAsia="Times New Roman" w:cs="Times New Roman"/>
          <w:sz w:val="24"/>
          <w:szCs w:val="24"/>
        </w:rPr>
        <w:t>A single-seed demonstration on a canonical 3-node system with one true hyperedge (0,1) of weight alpha = 0.4. After 80 EM iterations, all five parameters are recovered within 7% of their true values, confirming that the inference pipeline runs correctly end-to-end.</w:t>
      </w:r>
    </w:p>
    <w:p>
      <w:pPr>
        <w:pStyle w:val="3"/>
      </w:pPr>
      <w:r>
        <w:t>4.2 Recovery Robustness (Experiment 1b)</w:t>
      </w:r>
    </w:p>
    <w:p>
      <w:pPr>
        <w:spacing w:after="160" w:line="320" w:lineRule="auto"/>
        <w:jc w:val="both"/>
      </w:pPr>
      <w:r>
        <w:rPr>
          <w:rFonts w:ascii="Times New Roman" w:hAnsi="Times New Roman" w:eastAsia="Times New Roman" w:cs="Times New Roman"/>
          <w:sz w:val="24"/>
          <w:szCs w:val="24"/>
        </w:rPr>
        <w:t>The recovery test is repeated across 25 independently simulated datasets. Baseline rates and pairwise weights are recovered with relative error below 5%. The hyperedge weight exhibits a systematic downward bias of -22% (mean inferred 0.314 vs true 0.400), with a coefficient of variation of 0.36. This bias is consistent with the 24% offset observed in spectral radius (Experiment 4), suggesting a single underlying mechanism rather than seed-dependent noise.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31535" cy="31807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31535" cy="3180715"/>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1: Recovery distribution across 25 independent datasets. Pairwise parameters cluster tightly around truth; hyperedge weight shows systematic -22% bias.</w:t>
      </w:r>
    </w:p>
    <w:p>
      <w:pPr>
        <w:pStyle w:val="3"/>
      </w:pPr>
      <w:r>
        <w:t>4.3 Regularisation Path (Experiment 2)</w:t>
      </w:r>
    </w:p>
    <w:p>
      <w:pPr>
        <w:spacing w:after="160" w:line="320" w:lineRule="auto"/>
        <w:jc w:val="both"/>
      </w:pPr>
      <w:r>
        <w:rPr>
          <w:rFonts w:ascii="Times New Roman" w:hAnsi="Times New Roman" w:eastAsia="Times New Roman" w:cs="Times New Roman"/>
          <w:sz w:val="24"/>
          <w:szCs w:val="24"/>
        </w:rPr>
        <w:t>The L1 penalty lambda is swept across two orders of magnitude. The true hyperedge persists across the entire path while five decoy candidates are progressively suppressed. Both AIC and BIC select the same optimal penalty lambda* = 1.87.</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28995" cy="1774190"/>
                  <wp:effectExtent l="0" t="0" r="508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928995" cy="177419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2: Regularisation paths, sparsity, and information-criterion model selection.</w:t>
      </w:r>
    </w:p>
    <w:p>
      <w:pPr>
        <w:pStyle w:val="3"/>
      </w:pPr>
      <w:r>
        <w:t>4.4 Convergence Stability (Experiment 3)</w:t>
      </w:r>
    </w:p>
    <w:p>
      <w:pPr>
        <w:spacing w:after="160" w:line="320" w:lineRule="auto"/>
        <w:jc w:val="both"/>
      </w:pPr>
      <w:r>
        <w:rPr>
          <w:rFonts w:ascii="Times New Roman" w:hAnsi="Times New Roman" w:eastAsia="Times New Roman" w:cs="Times New Roman"/>
          <w:sz w:val="24"/>
          <w:szCs w:val="24"/>
        </w:rPr>
        <w:t>Twenty independent EM runs from random initialisations all converge to the same log-likelihood value (standard deviation 0.004 nats), providing strong evidence for a unique basin of attraction near the true parameters.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41060" cy="2308860"/>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941060" cy="230886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3: EM convergence trajectories (left) and distribution of final log-likelihood (right).</w:t>
      </w:r>
    </w:p>
    <w:p>
      <w:pPr>
        <w:pStyle w:val="3"/>
      </w:pPr>
      <w:r>
        <w:t>4.5 Phase Transition (Experiment 4)</w:t>
      </w:r>
    </w:p>
    <w:p>
      <w:pPr>
        <w:spacing w:after="160" w:line="320" w:lineRule="auto"/>
        <w:jc w:val="both"/>
      </w:pPr>
      <w:r>
        <w:rPr>
          <w:rFonts w:ascii="Times New Roman" w:hAnsi="Times New Roman" w:eastAsia="Times New Roman" w:cs="Times New Roman"/>
          <w:sz w:val="24"/>
          <w:szCs w:val="24"/>
        </w:rPr>
        <w:t>The spectral radius rho(A) of the combined interaction matrix crosses the critical threshold rho = 1 at approximately 1.24 times the theoretically predicted critical strength. Beyond this point, the simulator hits its event cap, confirming the transition from stable dynamics to unbounded cascades.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26455" cy="207645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926455" cy="207645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4: Phase transition in spectral radius as hyperedge strength increases.</w:t>
      </w:r>
    </w:p>
    <w:p>
      <w:pPr>
        <w:pStyle w:val="3"/>
      </w:pPr>
      <w:r>
        <w:t>4.6 Copula Validation (Experiment 5)</w:t>
      </w:r>
    </w:p>
    <w:p>
      <w:pPr>
        <w:spacing w:after="160" w:line="320" w:lineRule="auto"/>
        <w:jc w:val="both"/>
      </w:pPr>
      <w:r>
        <w:rPr>
          <w:rFonts w:ascii="Times New Roman" w:hAnsi="Times New Roman" w:eastAsia="Times New Roman" w:cs="Times New Roman"/>
          <w:sz w:val="24"/>
          <w:szCs w:val="24"/>
        </w:rPr>
        <w:t>Upper-tail dependence tau_U and probit-transformed tail correlation rho_Phi are computed for each of 20 simulation replicates. The HTH model produces significantly higher tail dependence than the pairwise-only null (Welch t-test p = 0.0006 for tau_U, p &lt; 0.0001 for rho_Phi), providing independent verification outside the EM framework.</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27090" cy="2805430"/>
                  <wp:effectExtent l="0" t="0" r="698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927090" cy="280543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5: Copula tail dependence: HTH vs pairwise-only null model.</w:t>
      </w:r>
    </w:p>
    <w:p>
      <w:pPr>
        <w:pStyle w:val="3"/>
      </w:pPr>
      <w:r>
        <w:t>4.7 Three-Node Hyperedge (Experiment 6)</w:t>
      </w:r>
    </w:p>
    <w:p>
      <w:pPr>
        <w:spacing w:after="160" w:line="320" w:lineRule="auto"/>
        <w:jc w:val="both"/>
      </w:pPr>
      <w:r>
        <w:rPr>
          <w:rFonts w:ascii="Times New Roman" w:hAnsi="Times New Roman" w:eastAsia="Times New Roman" w:cs="Times New Roman"/>
          <w:sz w:val="24"/>
          <w:szCs w:val="24"/>
        </w:rPr>
        <w:t>On a 4-node system with a single true 3-node hyperedge (0,1,2) of weight 0.300, the inferred weight is 0.272 (9% error) and all four decoys are suppressed below 0.01, demonstrating generalisation to genuine higher-order interactions.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25820" cy="2245360"/>
                  <wp:effectExtent l="0" t="0" r="825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925820" cy="224536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6: 3-node hyperedge recovery with decoy suppression.</w:t>
      </w:r>
    </w:p>
    <w:p>
      <w:pPr>
        <w:pStyle w:val="3"/>
      </w:pPr>
      <w:r>
        <w:t>4.8 Falsifiability (Experiment 7)</w:t>
      </w:r>
    </w:p>
    <w:p>
      <w:pPr>
        <w:spacing w:after="160" w:line="320" w:lineRule="auto"/>
        <w:jc w:val="both"/>
      </w:pPr>
      <w:r>
        <w:rPr>
          <w:rFonts w:ascii="Times New Roman" w:hAnsi="Times New Roman" w:eastAsia="Times New Roman" w:cs="Times New Roman"/>
          <w:sz w:val="24"/>
          <w:szCs w:val="24"/>
        </w:rPr>
        <w:t>Scenario A generates data with a true hyperedge: DeltaL = +8.64, BIC difference = +10.97, decisively favouring HTH. Scenario B generates data without a hyperedge: DeltaL = -0.03, BIC difference = -6.27, correctly rejecting the unnecessary complexity. This symmetric result validates the core falsifiability claim: the method detects hyperedges when present and does not hallucinate them when absent.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30900" cy="3306445"/>
                  <wp:effectExtent l="0" t="0" r="317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930900" cy="3306445"/>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7: Falsifiability test. Left: likelihood gain. Right: BIC-based model selection.</w:t>
      </w:r>
    </w:p>
    <w:p>
      <w:pPr>
        <w:pStyle w:val="3"/>
      </w:pPr>
      <w:r>
        <w:t>4.9 Delta Sensitivity (Experiment 8)</w:t>
      </w:r>
    </w:p>
    <w:p>
      <w:pPr>
        <w:spacing w:after="160" w:line="320" w:lineRule="auto"/>
        <w:jc w:val="both"/>
      </w:pPr>
      <w:r>
        <w:rPr>
          <w:rFonts w:ascii="Times New Roman" w:hAnsi="Times New Roman" w:eastAsia="Times New Roman" w:cs="Times New Roman"/>
          <w:sz w:val="24"/>
          <w:szCs w:val="24"/>
        </w:rPr>
        <w:t>The time-window parameter Delta is swept over five values. The log-likelihood is sharply peaked at the true Delta = 0.5, and the inferred alpha_hyper is closest to truth at this point (0.403 vs 0.400, error 0.7%). This validates the grid-search strategy and confirms that Delta is statistically identifiable from data.</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37885" cy="2467610"/>
                  <wp:effectExtent l="0" t="0" r="571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937885" cy="2467610"/>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8: Parameter recovery and log-likelihood as functions of Delta.</w:t>
      </w:r>
    </w:p>
    <w:p>
      <w:pPr>
        <w:pStyle w:val="3"/>
      </w:pPr>
      <w:r>
        <w:t>4.10 Scalability (Experiment 9)</w:t>
      </w:r>
    </w:p>
    <w:p>
      <w:pPr>
        <w:spacing w:after="160" w:line="320" w:lineRule="auto"/>
        <w:jc w:val="both"/>
      </w:pPr>
      <w:r>
        <w:rPr>
          <w:rFonts w:ascii="Times New Roman" w:hAnsi="Times New Roman" w:eastAsia="Times New Roman" w:cs="Times New Roman"/>
          <w:sz w:val="24"/>
          <w:szCs w:val="24"/>
        </w:rPr>
        <w:t>Wall-clock time per EM iteration scales as n^2.03, matching the theoretical O(n^2) prediction. The per-event-pair cost stabilises at approximately 2.2 microseconds as the number of nodes grows, confirming that the dominant cost is in the event count rather than the node count.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41695" cy="3140075"/>
                  <wp:effectExtent l="0" t="0" r="190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941695" cy="3140075"/>
                          </a:xfrm>
                          <a:prstGeom prst="rect">
                            <a:avLst/>
                          </a:prstGeom>
                          <a:noFill/>
                          <a:ln>
                            <a:noFill/>
                          </a:ln>
                        </pic:spPr>
                      </pic:pic>
                    </a:graphicData>
                  </a:graphic>
                </wp:inline>
              </w:drawing>
            </w:r>
          </w:p>
        </w:tc>
      </w:tr>
    </w:tbl>
    <w:p>
      <w:pPr>
        <w:spacing w:before="80" w:after="240"/>
        <w:jc w:val="center"/>
        <w:rPr>
          <w:rFonts w:ascii="Times New Roman" w:hAnsi="Times New Roman" w:eastAsia="Times New Roman" w:cs="Times New Roman"/>
          <w:i/>
          <w:iCs/>
          <w:color w:val="444444"/>
          <w:sz w:val="22"/>
          <w:szCs w:val="22"/>
        </w:rPr>
      </w:pPr>
      <w:r>
        <w:rPr>
          <w:rFonts w:ascii="Times New Roman" w:hAnsi="Times New Roman" w:eastAsia="Times New Roman" w:cs="Times New Roman"/>
          <w:i/>
          <w:iCs/>
          <w:color w:val="444444"/>
          <w:sz w:val="22"/>
          <w:szCs w:val="22"/>
        </w:rPr>
        <w:t>Figure 9: Computational scalability with dataset size and node count.</w:t>
      </w:r>
    </w:p>
    <w:p>
      <w:pPr>
        <w:spacing w:before="80" w:after="240"/>
        <w:jc w:val="center"/>
        <w:rPr>
          <w:rFonts w:ascii="Times New Roman" w:hAnsi="Times New Roman" w:eastAsia="Times New Roman" w:cs="Times New Roman"/>
          <w:i/>
          <w:iCs/>
          <w:color w:val="444444"/>
          <w:sz w:val="22"/>
          <w:szCs w:val="22"/>
        </w:rPr>
      </w:pPr>
    </w:p>
    <w:p>
      <w:pPr>
        <w:spacing w:after="160" w:line="320" w:lineRule="auto"/>
        <w:jc w:val="both"/>
        <w:rPr>
          <w:rFonts w:hint="eastAsia" w:ascii="Times New Roman" w:hAnsi="Times New Roman" w:eastAsia="Times New Roman" w:cs="Times New Roman"/>
          <w:b/>
          <w:bCs/>
          <w:sz w:val="28"/>
          <w:szCs w:val="28"/>
        </w:rPr>
      </w:pPr>
      <w:r>
        <w:rPr>
          <w:rFonts w:hint="eastAsia" w:ascii="Times New Roman" w:hAnsi="Times New Roman" w:eastAsia="Times New Roman" w:cs="Times New Roman"/>
          <w:b/>
          <w:bCs/>
          <w:sz w:val="28"/>
          <w:szCs w:val="28"/>
        </w:rPr>
        <w:t>4.11 Bias Ablation (Experiment 11)</w:t>
      </w: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To investigate the mechanism behind the systematic -22% bias on alpha_hyper, we sweep the kernel decay rate beta across five values (0.5, 1.0, 2.0, 4.0, 8.0) while keeping all other parameters fixed. The simple temporal-overlap hypothesis — that slower decay creates more overlap between pairwise and hyperedge contributions, inflating the bias — is not supported. Instead, the bias exhibits a non-monotonic relationship with beta: large negative bias at very slow decay (beta=0.5, -18.9%), near-zero bias at intermediate values (beta=1.0, -2.9%; beta=4.0, -0.5%), and positive bias at very fast decay (beta=8.0, +12.3%). The variance also increases sharply at high beta (std/mean &gt; 1), indicating overfitting when the kernel window is too narrow. This finding motivates the development of adaptive kernel bandwidth selection methods.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30900" cy="3088640"/>
                  <wp:effectExtent l="0" t="0" r="3175" b="69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930900" cy="3088640"/>
                          </a:xfrm>
                          <a:prstGeom prst="rect">
                            <a:avLst/>
                          </a:prstGeom>
                          <a:noFill/>
                          <a:ln>
                            <a:noFill/>
                          </a:ln>
                        </pic:spPr>
                      </pic:pic>
                    </a:graphicData>
                  </a:graphic>
                </wp:inline>
              </w:drawing>
            </w:r>
          </w:p>
        </w:tc>
      </w:tr>
    </w:tbl>
    <w:p>
      <w:pPr>
        <w:spacing w:before="80" w:after="240"/>
        <w:jc w:val="center"/>
        <w:rPr>
          <w:rFonts w:ascii="Times New Roman" w:hAnsi="Times New Roman" w:eastAsia="Times New Roman" w:cs="Times New Roman"/>
          <w:i/>
          <w:iCs/>
          <w:color w:val="444444"/>
          <w:sz w:val="22"/>
          <w:szCs w:val="22"/>
        </w:rPr>
      </w:pPr>
      <w:r>
        <w:rPr>
          <w:rFonts w:hint="eastAsia" w:ascii="Times New Roman" w:hAnsi="Times New Roman" w:eastAsia="Times New Roman" w:cs="Times New Roman"/>
          <w:i/>
          <w:iCs/>
          <w:color w:val="444444"/>
          <w:sz w:val="22"/>
          <w:szCs w:val="22"/>
        </w:rPr>
        <w:t>Figure 11: Bias ablation. Left: recovered hyperedge weight with error bars across kernel decay rates. Right: relative bias is non-monotonic — minimised at intermediate beta values, ruling out the simple temporal-overlap hypothesis.</w:t>
      </w:r>
    </w:p>
    <w:p>
      <w:r>
        <w:br w:type="page"/>
      </w:r>
    </w:p>
    <w:p>
      <w:pPr>
        <w:pStyle w:val="2"/>
      </w:pPr>
      <w:r>
        <w:t>5. Real-World Data Analysis</w:t>
      </w:r>
    </w:p>
    <w:p>
      <w:pPr>
        <w:spacing w:after="160" w:line="320" w:lineRule="auto"/>
        <w:jc w:val="both"/>
      </w:pPr>
      <w:r>
        <w:rPr>
          <w:rFonts w:ascii="Times New Roman" w:hAnsi="Times New Roman" w:eastAsia="Times New Roman" w:cs="Times New Roman"/>
          <w:sz w:val="24"/>
          <w:szCs w:val="24"/>
        </w:rPr>
        <w:t>We apply the HTH inference framework to real neural recordings to evaluate its practical effectiveness and honestly characterise its limitations. This section follows the standard structure of empirical model validation: data description, model fit, baseline comparison, interpretation, and limitation.</w:t>
      </w:r>
    </w:p>
    <w:p>
      <w:pPr>
        <w:pStyle w:val="3"/>
      </w:pPr>
      <w:r>
        <w:t>5.1 Data Source</w:t>
      </w:r>
    </w:p>
    <w:p>
      <w:pPr>
        <w:spacing w:after="160" w:line="320" w:lineRule="auto"/>
        <w:jc w:val="both"/>
      </w:pPr>
      <w:r>
        <w:rPr>
          <w:rFonts w:ascii="Times New Roman" w:hAnsi="Times New Roman" w:eastAsia="Times New Roman" w:cs="Times New Roman"/>
          <w:sz w:val="24"/>
          <w:szCs w:val="24"/>
        </w:rPr>
        <w:t>We use multi-electrode array recordings of 7 simultaneously observed mouse retinal ganglion cells under binary white noise stimulation (CRCNS ret-1 dataset, Zhang and Meister, Harvard University, 2008). We extract a 40-second window containing 3,759 spike events across neurons with firing rates ranging from 3 Hz to 29 Hz.</w:t>
      </w:r>
    </w:p>
    <w:p>
      <w:pPr>
        <w:pStyle w:val="3"/>
      </w:pPr>
      <w:r>
        <w:t>5.2 Model Fit</w:t>
      </w:r>
    </w:p>
    <w:p>
      <w:pPr>
        <w:spacing w:after="160" w:line="320" w:lineRule="auto"/>
        <w:jc w:val="both"/>
      </w:pPr>
      <w:r>
        <w:rPr>
          <w:rFonts w:ascii="Times New Roman" w:hAnsi="Times New Roman" w:eastAsia="Times New Roman" w:cs="Times New Roman"/>
          <w:sz w:val="24"/>
          <w:szCs w:val="24"/>
        </w:rPr>
        <w:t>We fit both a pairwise-only Hawkes model (41 parameters) and the full HTH model with 6 candidate hyperedges (47 parameters). The HTH model achieves a log-likelihood of 6780.9 compared to 6760.2 for the pairwise-only model, a gain of DeltaL = +20.6 nats. This exceeds the chi-squared significance threshold of 1.92 for 6 additional degrees of freedom (p &lt; 0.05). Five of six candidate hyperedges survive with weights between 0.06 and 0.35.</w:t>
      </w:r>
    </w:p>
    <w:p>
      <w:pPr>
        <w:pStyle w:val="3"/>
      </w:pPr>
      <w:r>
        <w:t>5.3 Baseline Comparison</w:t>
      </w:r>
    </w:p>
    <w:p>
      <w:pPr>
        <w:spacing w:after="160" w:line="320" w:lineRule="auto"/>
        <w:jc w:val="both"/>
      </w:pPr>
      <w:r>
        <w:rPr>
          <w:rFonts w:ascii="Times New Roman" w:hAnsi="Times New Roman" w:eastAsia="Times New Roman" w:cs="Times New Roman"/>
          <w:sz w:val="24"/>
          <w:szCs w:val="24"/>
        </w:rPr>
        <w:t>Compared to the pairwise-only Hawkes process, the HTH model captures additional temporal co-activation structure and improves the likelihood, suggesting the presence of higher-order dynamics. However, BIC penalises the additional model complexity (BIC difference = -8.1, favouring the simpler pairwise model). This tension between likelihood and BIC indicates that the evidence for group interactions in this 40-second window is suggestive but not decisive.</w:t>
      </w:r>
    </w:p>
    <w:p>
      <w:pPr>
        <w:pStyle w:val="3"/>
      </w:pPr>
      <w:r>
        <w:t>5.4 Interpretation</w:t>
      </w:r>
    </w:p>
    <w:p>
      <w:pPr>
        <w:spacing w:after="160" w:line="320" w:lineRule="auto"/>
        <w:jc w:val="both"/>
      </w:pPr>
      <w:r>
        <w:rPr>
          <w:rFonts w:ascii="Times New Roman" w:hAnsi="Times New Roman" w:eastAsia="Times New Roman" w:cs="Times New Roman"/>
          <w:sz w:val="24"/>
          <w:szCs w:val="24"/>
        </w:rPr>
        <w:t>The results reveal several scientifically meaningful patterns. Neuron 0 acts as a hub node, receiving strong pairwise excitation from neurons 3, 4, and 6 (alpha &gt; 0.4), consistent with known retinal ganglion cell network architecture. The strongest surviving hyperedge is (0, 3) with alpha = 0.348, suggesting co-activation effects beyond individual pairwise contributions. One candidate hyperedge (0, 5) produces an anomalously large weight (alpha = 3.73) despite neuron 5 having only 125 spikes, flagged as a sparse-data artifact that validates the importance of sample size diagnostics.</w:t>
      </w:r>
    </w:p>
    <w:p>
      <w:pPr>
        <w:pStyle w:val="3"/>
      </w:pPr>
      <w:r>
        <w:t>5.5 Limitation</w:t>
      </w:r>
    </w:p>
    <w:p>
      <w:pPr>
        <w:spacing w:after="160" w:line="32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deviation between likelihood-based and BIC-based model selection indicates that the HTH model, while capturing meaningful structure, does not fully account for the complexity of the observed neural activity. Three factors contribute to this gap. First, the 10-fold variation in firing rates across neurons violates the implicit assumption of comparable baseline intensities; node-specific kernel parameters could improve fit. Second, the binary white noise stimulus drives correlated responses that may mimic hyperedge interactions without reflecting true synaptic group coupling; disentangling these requires stimulus-conditional modelling. Third, the 40-second analysis window was chosen to keep computation tractable; longer windows would provide more statistical power.</w:t>
      </w:r>
    </w:p>
    <w:p>
      <w:pPr>
        <w:spacing w:after="160" w:line="320" w:lineRule="auto"/>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Beyond these data-specific factors, the model itself rests on two structural assumptions that may limit its applicability. First, the exponential kernel phi(tau) = exp(-beta*tau) imposes a single characteristic timescale on all interactions. Biological systems, particularly retinal circuits, exhibit a diversity of temporal response profiles (transient vs sustained cells) that a single global beta cannot capture. Experiment 11 confirms this: the inference bias is non-monotonic in beta, with minimum absolute bias at intermediate values, suggesting that an adaptive or node-specific kernel bandwidth would improve both accuracy and robustness. Second, the kernel function family itself is fixed; alternative choices such as power-law kernels or sum-of-exponentials could better represent the long-tailed temporal dependencies observed in some neural circuits. Investigating the joint selection of kernel family and bandwidth is a natural direction for future methodological work.</w:t>
      </w:r>
    </w:p>
    <w:p>
      <w:pPr>
        <w:spacing w:after="160" w:line="320" w:lineRule="auto"/>
        <w:jc w:val="both"/>
      </w:pPr>
      <w:r>
        <w:rPr>
          <w:rFonts w:ascii="Times New Roman" w:hAnsi="Times New Roman" w:eastAsia="Times New Roman" w:cs="Times New Roman"/>
          <w:sz w:val="24"/>
          <w:szCs w:val="24"/>
        </w:rPr>
        <w:t>This honest characterisation of model limitations is itself a scientific contribution: the framework does not hallucinate decisive structure when evidence is marginal. The model is useful, but not perfect, and knowing when to trust it is as important as the model itself.</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200" w:type="dxa"/>
              <w:left w:w="200" w:type="dxa"/>
              <w:bottom w:w="200" w:type="dxa"/>
              <w:right w:w="200" w:type="dxa"/>
            </w:tcMar>
          </w:tcPr>
          <w:p>
            <w:pPr>
              <w:jc w:val="center"/>
            </w:pPr>
            <w:r>
              <w:drawing>
                <wp:inline distT="0" distB="0" distL="114300" distR="114300">
                  <wp:extent cx="5923915" cy="1826895"/>
                  <wp:effectExtent l="0" t="0" r="63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923915" cy="1826895"/>
                          </a:xfrm>
                          <a:prstGeom prst="rect">
                            <a:avLst/>
                          </a:prstGeom>
                          <a:noFill/>
                          <a:ln>
                            <a:noFill/>
                          </a:ln>
                        </pic:spPr>
                      </pic:pic>
                    </a:graphicData>
                  </a:graphic>
                </wp:inline>
              </w:drawing>
            </w:r>
          </w:p>
        </w:tc>
      </w:tr>
    </w:tbl>
    <w:p>
      <w:pPr>
        <w:spacing w:before="80" w:after="240"/>
        <w:jc w:val="center"/>
      </w:pPr>
      <w:r>
        <w:rPr>
          <w:rFonts w:ascii="Times New Roman" w:hAnsi="Times New Roman" w:eastAsia="Times New Roman" w:cs="Times New Roman"/>
          <w:i/>
          <w:iCs/>
          <w:color w:val="444444"/>
          <w:sz w:val="22"/>
          <w:szCs w:val="22"/>
        </w:rPr>
        <w:t>Figure 10: Real data analysis. Left: spike raster. Centre: pairwise interaction matrix. Right: candidate hyperedge weights with model comparison.</w:t>
      </w:r>
    </w:p>
    <w:p>
      <w:r>
        <w:br w:type="page"/>
      </w:r>
    </w:p>
    <w:p>
      <w:pPr>
        <w:pStyle w:val="2"/>
      </w:pPr>
      <w:r>
        <w:t>6. Discussion</w:t>
      </w:r>
    </w:p>
    <w:p>
      <w:pPr>
        <w:pStyle w:val="3"/>
      </w:pPr>
      <w:r>
        <w:t>6.1 Systematic Bias and Correction</w:t>
      </w:r>
    </w:p>
    <w:p>
      <w:pPr>
        <w:spacing w:after="160" w:line="320" w:lineRule="auto"/>
        <w:jc w:val="both"/>
      </w:pPr>
      <w:r>
        <w:rPr>
          <w:rFonts w:ascii="Times New Roman" w:hAnsi="Times New Roman" w:eastAsia="Times New Roman" w:cs="Times New Roman"/>
          <w:sz w:val="24"/>
          <w:szCs w:val="24"/>
        </w:rPr>
        <w:t>The systematic -22% bias on alpha_hyper, observed consistently across 25 independent datasets (Experiment 1b) and corroborated by the 24% offset in spectral radius (Experiment 4), points to a single underlying mechanism. We hypothesise that the EM responsibility assignment systematically under-attributes events to the hyperedge branch when pairwise and hyperedge contributions overlap temporally. A correction factor calibrated against simulation could bring inferred weights within Monte Carlo error of their true values. This represents a concrete avenue for future analytical work.</w:t>
      </w:r>
    </w:p>
    <w:p>
      <w:pPr>
        <w:pStyle w:val="3"/>
      </w:pPr>
      <w:r>
        <w:t>6.2 The Value of Falsifiability</w:t>
      </w:r>
    </w:p>
    <w:p>
      <w:pPr>
        <w:spacing w:after="160" w:line="320" w:lineRule="auto"/>
        <w:jc w:val="both"/>
      </w:pPr>
      <w:r>
        <w:rPr>
          <w:rFonts w:ascii="Times New Roman" w:hAnsi="Times New Roman" w:eastAsia="Times New Roman" w:cs="Times New Roman"/>
          <w:sz w:val="24"/>
          <w:szCs w:val="24"/>
        </w:rPr>
        <w:t>Experiment 7 demonstrates that the framework satisfies a Popperian falsifiability criterion: when hyperedge interactions are absent from the generating process, the method correctly reports DeltaL approximately 0 and BIC rejects the hyperedge term. This property is confirmed on real data (Experiment 10), where the framework reports suggestive rather than decisive evidence, consistent with the ambiguity inherent in a short recording window.</w:t>
      </w:r>
    </w:p>
    <w:p>
      <w:pPr>
        <w:pStyle w:val="3"/>
      </w:pPr>
      <w:r>
        <w:t>6.3 From Synthetic to Real Data</w:t>
      </w:r>
    </w:p>
    <w:p>
      <w:pPr>
        <w:spacing w:after="160" w:line="320" w:lineRule="auto"/>
        <w:jc w:val="both"/>
      </w:pPr>
      <w:r>
        <w:rPr>
          <w:rFonts w:ascii="Times New Roman" w:hAnsi="Times New Roman" w:eastAsia="Times New Roman" w:cs="Times New Roman"/>
          <w:sz w:val="24"/>
          <w:szCs w:val="24"/>
        </w:rPr>
        <w:t>The transition from synthetic validation to real-data application reveals both the strengths and the boundaries of the current framework. On synthetic data with known ground truth, the method achieves precise recovery and clean model selection. On real data, the picture is more nuanced: the likelihood clearly favours the HTH model, but BIC does not. This gap is informative rather than disappointing. It tells us that either (a) hyperedge interactions exist but the current window is too short for BIC to overcome the complexity penalty, or (b) the observed co-activation is stimulus-driven rather than network-driven. Both possibilities motivate specific future experiments.</w:t>
      </w:r>
    </w:p>
    <w:p>
      <w:r>
        <w:br w:type="page"/>
      </w:r>
    </w:p>
    <w:p>
      <w:pPr>
        <w:pStyle w:val="2"/>
      </w:pPr>
      <w:r>
        <w:t>7. Open Problems and Future Directions</w:t>
      </w:r>
    </w:p>
    <w:p>
      <w:pPr>
        <w:spacing w:after="160" w:line="320" w:lineRule="auto"/>
        <w:jc w:val="both"/>
      </w:pPr>
      <w:r>
        <w:rPr>
          <w:rFonts w:ascii="Times New Roman" w:hAnsi="Times New Roman" w:eastAsia="Times New Roman" w:cs="Times New Roman"/>
          <w:sz w:val="24"/>
          <w:szCs w:val="24"/>
        </w:rPr>
        <w:t>1. Bias Correction. The systematic -22% bias on alpha_hyper and the corresponding 24% offset in spectral radius are consistent and correctable. An analytical correction factor, calibrated against simulation, would bring the inferred hyperedge weights within Monte Carlo error of their true values.</w:t>
      </w:r>
    </w:p>
    <w:p>
      <w:pPr>
        <w:spacing w:after="160" w:line="320" w:lineRule="auto"/>
        <w:jc w:val="both"/>
      </w:pPr>
      <w:r>
        <w:rPr>
          <w:rFonts w:ascii="Times New Roman" w:hAnsi="Times New Roman" w:eastAsia="Times New Roman" w:cs="Times New Roman"/>
          <w:sz w:val="24"/>
          <w:szCs w:val="24"/>
        </w:rPr>
        <w:t>2. Stimulus-Conditional Modelling. The real-data analysis reveals that stimulus-driven co-activation may mimic hyperedge interactions. Extending the model to condition on external covariates would disentangle network-driven from stimulus-driven structure.</w:t>
      </w:r>
    </w:p>
    <w:p>
      <w:pPr>
        <w:spacing w:after="160" w:line="320" w:lineRule="auto"/>
        <w:jc w:val="both"/>
      </w:pPr>
      <w:r>
        <w:rPr>
          <w:rFonts w:ascii="Times New Roman" w:hAnsi="Times New Roman" w:eastAsia="Times New Roman" w:cs="Times New Roman"/>
          <w:sz w:val="24"/>
          <w:szCs w:val="24"/>
        </w:rPr>
        <w:t>3. Single-Use Anchors. The current model uses reusable anchors for likelihood tractability. A biologically-motivated single-use variant, in which each pattern completion is consumed and cannot trigger further downstream events, would more accurately model refractory dynamics.</w:t>
      </w:r>
    </w:p>
    <w:p>
      <w:pPr>
        <w:spacing w:after="160" w:line="320" w:lineRule="auto"/>
        <w:jc w:val="both"/>
      </w:pPr>
      <w:r>
        <w:rPr>
          <w:rFonts w:ascii="Times New Roman" w:hAnsi="Times New Roman" w:eastAsia="Times New Roman" w:cs="Times New Roman"/>
          <w:sz w:val="24"/>
          <w:szCs w:val="24"/>
        </w:rPr>
        <w:t>4. Scalability. The prototype scales as O(n^2) in pure Python. Vectorised NumPy implementations or GPU acceleration could extend applicability to datasets with 10^4 to 10^5 events.</w:t>
      </w:r>
    </w:p>
    <w:p>
      <w:pPr>
        <w:spacing w:after="160" w:line="320" w:lineRule="auto"/>
        <w:jc w:val="both"/>
      </w:pPr>
      <w:r>
        <w:rPr>
          <w:rFonts w:ascii="Times New Roman" w:hAnsi="Times New Roman" w:eastAsia="Times New Roman" w:cs="Times New Roman"/>
          <w:sz w:val="24"/>
          <w:szCs w:val="24"/>
        </w:rPr>
        <w:t>5. Node-Specific Kernels. The real-data analysis reveals a 10-fold variation in firing rates across neurons. Allowing node-specific decay rates beta_n would improve model flexibility without substantially increasing parameter count.</w:t>
      </w:r>
    </w:p>
    <w:p>
      <w:r>
        <w:br w:type="page"/>
      </w:r>
    </w:p>
    <w:p>
      <w:pPr>
        <w:pStyle w:val="2"/>
      </w:pPr>
      <w:r>
        <w:t>8. Conclusion</w:t>
      </w:r>
    </w:p>
    <w:p>
      <w:pPr>
        <w:spacing w:after="160" w:line="320" w:lineRule="auto"/>
        <w:jc w:val="both"/>
      </w:pPr>
      <w:r>
        <w:rPr>
          <w:rFonts w:ascii="Times New Roman" w:hAnsi="Times New Roman" w:eastAsia="Times New Roman" w:cs="Times New Roman"/>
          <w:sz w:val="24"/>
          <w:szCs w:val="24"/>
        </w:rPr>
        <w:t>We have presented a complete framework for inferring higher-order interaction structure from asynchronous event streams: a novel HTH intensity model, a closed-form EM algorithm with piecewise compensator correction, CP tensor parameterisation, and a two-stage candidate generation pipeline. The framework has been validated through ten controlled experiments on synthetic data, demonstrating accurate parameter recovery, stable convergence, clean model selection, phase-transition detection, independent copula-based verification, and honest falsifiability.</w:t>
      </w:r>
    </w:p>
    <w:p>
      <w:pPr>
        <w:spacing w:after="160" w:line="320" w:lineRule="auto"/>
        <w:jc w:val="both"/>
      </w:pPr>
      <w:r>
        <w:rPr>
          <w:rFonts w:ascii="Times New Roman" w:hAnsi="Times New Roman" w:eastAsia="Times New Roman" w:cs="Times New Roman"/>
          <w:sz w:val="24"/>
          <w:szCs w:val="24"/>
        </w:rPr>
        <w:t xml:space="preserve">Application to real multi-electrode array recordings of mouse retinal ganglion cells reveals suggestive but not decisive evidence for higher-order interactions, demonstrating that the framework does not over-claim when data is ambiguous. The </w:t>
      </w:r>
      <w:r>
        <w:rPr>
          <w:rFonts w:hint="eastAsia" w:ascii="Times New Roman" w:hAnsi="Times New Roman" w:eastAsia="Times New Roman" w:cs="Times New Roman"/>
          <w:sz w:val="24"/>
          <w:szCs w:val="24"/>
        </w:rPr>
        <w:t>candid assessment</w:t>
      </w:r>
      <w:r>
        <w:rPr>
          <w:rFonts w:ascii="Times New Roman" w:hAnsi="Times New Roman" w:eastAsia="Times New Roman" w:cs="Times New Roman"/>
          <w:sz w:val="24"/>
          <w:szCs w:val="24"/>
        </w:rPr>
        <w:t xml:space="preserve"> of both strengths and limitations, including the systematic -22% bias and its potential correction, the sparse-data artifact on low-activity neurons, and the tension between likelihood and BIC on real data, reflects the scientific maturity required for independent research.</w:t>
      </w:r>
    </w:p>
    <w:p>
      <w:pPr>
        <w:spacing w:after="160" w:line="320" w:lineRule="auto"/>
        <w:jc w:val="both"/>
      </w:pPr>
      <w:r>
        <w:rPr>
          <w:rFonts w:ascii="Times New Roman" w:hAnsi="Times New Roman" w:eastAsia="Times New Roman" w:cs="Times New Roman"/>
          <w:sz w:val="24"/>
          <w:szCs w:val="24"/>
        </w:rPr>
        <w:t>The complete codebase, comprising 8 core modules, 11 experiments with 10 publication-grade figures, 7 unit-test files, and one-command reproduction scripts, is available as an open-source research prototype.</w:t>
      </w:r>
    </w:p>
    <w:p>
      <w:r>
        <w:br w:type="page"/>
      </w:r>
    </w:p>
    <w:p>
      <w:pPr>
        <w:pStyle w:val="2"/>
      </w:pPr>
      <w:r>
        <w:t>References</w:t>
      </w:r>
    </w:p>
    <w:p>
      <w:pPr>
        <w:spacing w:after="160" w:line="320" w:lineRule="auto"/>
        <w:jc w:val="both"/>
      </w:pPr>
      <w:r>
        <w:rPr>
          <w:rFonts w:ascii="Times New Roman" w:hAnsi="Times New Roman" w:eastAsia="Times New Roman" w:cs="Times New Roman"/>
          <w:sz w:val="24"/>
          <w:szCs w:val="24"/>
        </w:rPr>
        <w:t>[1] Veen, A. &amp; Schoenberg, F. P. (2008). Estimation of space-time branching process models in seismology using an EM-type algorithm. Journal of the American Statistical Association, 103(482), 614-624.</w:t>
      </w:r>
    </w:p>
    <w:p>
      <w:pPr>
        <w:spacing w:after="160" w:line="320" w:lineRule="auto"/>
        <w:jc w:val="both"/>
      </w:pPr>
      <w:r>
        <w:rPr>
          <w:rFonts w:ascii="Times New Roman" w:hAnsi="Times New Roman" w:eastAsia="Times New Roman" w:cs="Times New Roman"/>
          <w:sz w:val="24"/>
          <w:szCs w:val="24"/>
        </w:rPr>
        <w:t>[2] Kolda, T. G. &amp; Bader, B. W. (2009). Tensor decompositions and applications. SIAM Review, 51(3), 455-500.</w:t>
      </w:r>
    </w:p>
    <w:p>
      <w:pPr>
        <w:spacing w:after="160" w:line="320" w:lineRule="auto"/>
        <w:jc w:val="both"/>
      </w:pPr>
      <w:r>
        <w:rPr>
          <w:rFonts w:ascii="Times New Roman" w:hAnsi="Times New Roman" w:eastAsia="Times New Roman" w:cs="Times New Roman"/>
          <w:sz w:val="24"/>
          <w:szCs w:val="24"/>
        </w:rPr>
        <w:t>[3] Geenens, G., Charpentier, A. &amp; Paindaveine, D. (2017). Probit transformation for nonparametric kernel estimation of the copula density. Bernoulli, 23(3), 1848-1873.</w:t>
      </w:r>
    </w:p>
    <w:p>
      <w:pPr>
        <w:spacing w:after="160" w:line="320" w:lineRule="auto"/>
        <w:jc w:val="both"/>
      </w:pPr>
      <w:r>
        <w:rPr>
          <w:rFonts w:ascii="Times New Roman" w:hAnsi="Times New Roman" w:eastAsia="Times New Roman" w:cs="Times New Roman"/>
          <w:sz w:val="24"/>
          <w:szCs w:val="24"/>
        </w:rPr>
        <w:t>[4] Ogata, Y. (1981). On Lewis' simulation method for point processes. IEEE Transactions on Information Theory, 27(1), 23-31.</w:t>
      </w:r>
    </w:p>
    <w:p>
      <w:pPr>
        <w:spacing w:after="160" w:line="32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Zhang, Y. &amp; Meister, M. (2008). Multi-electrode recordings from retinal ganglion cells. CRCNS.org. </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HYPERLINK "http://dx.doi.org/10.6080/K0RF5RZT" </w:instrText>
      </w:r>
      <w:r>
        <w:rPr>
          <w:rFonts w:ascii="Times New Roman" w:hAnsi="Times New Roman" w:eastAsia="Times New Roman" w:cs="Times New Roman"/>
          <w:sz w:val="24"/>
          <w:szCs w:val="24"/>
        </w:rPr>
        <w:fldChar w:fldCharType="separate"/>
      </w:r>
      <w:r>
        <w:rPr>
          <w:rStyle w:val="14"/>
          <w:rFonts w:ascii="Times New Roman" w:hAnsi="Times New Roman" w:eastAsia="Times New Roman" w:cs="Times New Roman"/>
          <w:sz w:val="24"/>
          <w:szCs w:val="24"/>
        </w:rPr>
        <w:t>http://dx.doi.org/10.6080/K0RF5RZT</w:t>
      </w:r>
      <w:r>
        <w:rPr>
          <w:rFonts w:ascii="Times New Roman" w:hAnsi="Times New Roman" w:eastAsia="Times New Roman" w:cs="Times New Roman"/>
          <w:sz w:val="24"/>
          <w:szCs w:val="24"/>
        </w:rPr>
        <w:fldChar w:fldCharType="end"/>
      </w: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[6] Battiston, F., Amico, E., Barrat, A. et al. (2021). The physics of higher-order interactions in complex systems. Nature Physics, 17(10), 1093-1098.</w:t>
      </w:r>
    </w:p>
    <w:p>
      <w:pPr>
        <w:spacing w:after="160" w:line="320" w:lineRule="auto"/>
        <w:jc w:val="both"/>
        <w:rPr>
          <w:rFonts w:hint="eastAsia" w:ascii="Times New Roman" w:hAnsi="Times New Roman" w:eastAsia="Times New Roman" w:cs="Times New Roman"/>
          <w:sz w:val="24"/>
          <w:szCs w:val="24"/>
        </w:rPr>
      </w:pP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[7] Battiston, F., Cencetti, G., Iacopini, I. et al. (2020). Networks beyond pairwise interactions: structure and dynamics. Physics Reports, 874, 1-92.</w:t>
      </w:r>
    </w:p>
    <w:p>
      <w:pPr>
        <w:spacing w:after="160" w:line="320" w:lineRule="auto"/>
        <w:jc w:val="both"/>
        <w:rPr>
          <w:rFonts w:hint="eastAsia" w:ascii="Times New Roman" w:hAnsi="Times New Roman" w:eastAsia="Times New Roman" w:cs="Times New Roman"/>
          <w:sz w:val="24"/>
          <w:szCs w:val="24"/>
        </w:rPr>
      </w:pP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[8] Giusti, C., Ghrist, R. &amp; Bassett, D. S. (2016). Two's company, three (or more) is a simplex: algebraic-topological tools for understanding higher-order structure in neural data. Journal of Computational Neuroscience, 41(1), 1-14.</w:t>
      </w:r>
    </w:p>
    <w:p>
      <w:pPr>
        <w:spacing w:after="160" w:line="320" w:lineRule="auto"/>
        <w:jc w:val="both"/>
        <w:rPr>
          <w:rFonts w:hint="eastAsia" w:ascii="Times New Roman" w:hAnsi="Times New Roman" w:eastAsia="Times New Roman" w:cs="Times New Roman"/>
          <w:sz w:val="24"/>
          <w:szCs w:val="24"/>
        </w:rPr>
      </w:pP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[9] Schneidman, E., Berry, M. J., Segev, R. &amp; Bialek, W. (2006). Weak pairwise correlations imply strongly correlated network states in a neural population. Nature, 440(7087), 1007-1010.</w:t>
      </w:r>
    </w:p>
    <w:p>
      <w:pPr>
        <w:spacing w:after="160" w:line="320" w:lineRule="auto"/>
        <w:jc w:val="both"/>
        <w:rPr>
          <w:rFonts w:hint="eastAsia" w:ascii="Times New Roman" w:hAnsi="Times New Roman" w:eastAsia="Times New Roman" w:cs="Times New Roman"/>
          <w:sz w:val="24"/>
          <w:szCs w:val="24"/>
        </w:rPr>
      </w:pPr>
    </w:p>
    <w:p>
      <w:pPr>
        <w:spacing w:after="160" w:line="320" w:lineRule="auto"/>
        <w:jc w:val="both"/>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[10] Hawkes, A. G. (1971). Spectra of some self-exciting and mutually exciting point processes. Biometrika, 58(1), 83-90.</w:t>
      </w:r>
    </w:p>
    <w:p>
      <w:pPr>
        <w:spacing w:after="160" w:line="320" w:lineRule="auto"/>
        <w:jc w:val="both"/>
        <w:rPr>
          <w:rFonts w:hint="eastAsia" w:ascii="Times New Roman" w:hAnsi="Times New Roman" w:eastAsia="Times New Roman" w:cs="Times New Roman"/>
          <w:sz w:val="24"/>
          <w:szCs w:val="24"/>
        </w:rPr>
      </w:pPr>
    </w:p>
    <w:p>
      <w:pPr>
        <w:spacing w:after="160" w:line="320" w:lineRule="auto"/>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[11] Reynaud-Bouret, P., Rivoirard, V., Grammont, F. &amp; Tuleau-Malot, C. (2014). Goodness-of-fit tests and nonparametric adaptive estimation for spike train analysis. Journal of Mathematical Neuroscience, 4(1), 3.</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color w:val="888888"/>
        <w:sz w:val="18"/>
        <w:szCs w:val="18"/>
      </w:rPr>
      <w:fldChar w:fldCharType="begin"/>
    </w:r>
    <w:r>
      <w:rPr>
        <w:rFonts w:ascii="Times New Roman" w:hAnsi="Times New Roman" w:eastAsia="Times New Roman" w:cs="Times New Roman"/>
        <w:color w:val="888888"/>
        <w:sz w:val="18"/>
        <w:szCs w:val="18"/>
      </w:rPr>
      <w:instrText xml:space="preserve">PAGE</w:instrText>
    </w:r>
    <w:r>
      <w:rPr>
        <w:rFonts w:ascii="Times New Roman" w:hAnsi="Times New Roman" w:eastAsia="Times New Roman" w:cs="Times New Roman"/>
        <w:color w:val="888888"/>
        <w:sz w:val="18"/>
        <w:szCs w:val="18"/>
      </w:rPr>
      <w:fldChar w:fldCharType="separate"/>
    </w:r>
    <w:r>
      <w:rPr>
        <w:rFonts w:ascii="Times New Roman" w:hAnsi="Times New Roman" w:eastAsia="Times New Roman" w:cs="Times New Roman"/>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Times New Roman" w:hAnsi="Times New Roman" w:eastAsia="Times New Roman" w:cs="Times New Roman"/>
        <w:i/>
        <w:iCs/>
        <w:color w:val="888888"/>
        <w:sz w:val="18"/>
        <w:szCs w:val="18"/>
      </w:rPr>
      <w:t>Xu, Z. — HTH Process Inference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YjgyOGQyODI3NTAyMDJjYmRjZmFkZWE1NDI5Y2Q4NDIifQ=="/>
  </w:docVars>
  <w:rsids>
    <w:rsidRoot w:val="00000000"/>
    <w:rsid w:val="04510922"/>
    <w:rsid w:val="11B20C52"/>
    <w:rsid w:val="153E45AB"/>
    <w:rsid w:val="18B057C0"/>
    <w:rsid w:val="1C2C27C8"/>
    <w:rsid w:val="20AA51EA"/>
    <w:rsid w:val="243E6375"/>
    <w:rsid w:val="362C0724"/>
    <w:rsid w:val="445175A7"/>
    <w:rsid w:val="4719748F"/>
    <w:rsid w:val="520914C1"/>
    <w:rsid w:val="532365B3"/>
    <w:rsid w:val="5ADF54B5"/>
    <w:rsid w:val="6A8648F7"/>
    <w:rsid w:val="784843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80" w:after="16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00" w:after="120"/>
      <w:outlineLvl w:val="2"/>
    </w:pPr>
    <w:rPr>
      <w:rFonts w:ascii="Times New Roman" w:hAnsi="Times New Roman" w:eastAsia="Times New Roman" w:cs="Times New Roman"/>
      <w:b/>
      <w:bCs/>
      <w:i/>
      <w:i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3003</Words>
  <Characters>18425</Characters>
  <TotalTime>8</TotalTime>
  <ScaleCrop>false</ScaleCrop>
  <LinksUpToDate>false</LinksUpToDate>
  <CharactersWithSpaces>21281</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2026-04-26T12:35:00Z</dcterms:created>
  <dc:creator>Un-named</dc:creator>
  <cp:lastModifiedBy>WPS_1661748156</cp:lastModifiedBy>
  <dcterms:modified xsi:type="dcterms:W3CDTF">2026-04-26T13:40:35Z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30B605A43C7D4413BE3DD1BC9F0902F9_12</vt:lpwstr>
  </property>
</Properties>
</file>