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Bounce problem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"https://www.allaboutcircuits.com/technical-articles/switch-bounce-how-to-deal-with-it/"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https://www.allaboutcircuits.com/technical-articles/switch-bounce-how-to-deal-with-it/</w:t>
      </w:r>
      <w:r>
        <w:rPr>
          <w:rFonts w:hint="default"/>
          <w:lang w:val="en-US"/>
        </w:rPr>
        <w:fldChar w:fldCharType="end"/>
      </w:r>
    </w:p>
    <w:p>
      <w:pPr>
        <w:rPr>
          <w:rFonts w:hint="default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0F844B1"/>
    <w:rsid w:val="60F84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2022-04-18T01:48:00Z</dcterms:created>
  <dc:creator>Hanin Anwar</dc:creator>
  <cp:lastModifiedBy>Hanin anwar</cp:lastModifiedBy>
  <dcterms:modified xsi:type="dcterms:W3CDTF">2022-04-18T01:52:38Z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1033-11.2.0.11074</vt:lpwstr>
  </property>
  <property fmtid="{D5CDD505-2E9C-101B-9397-08002B2CF9AE}" pid="3" name="ICV">
    <vt:lpwstr>2270EB1F83C14D468D117ECF8569BAA4</vt:lpwstr>
  </property>
</Properties>
</file>