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edd2b444b3764330"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41f9c0787e9b44ce"/>
                    <a:stretch>
                      <a:fillRect/>
                    </a:stretch>
                  </pic:blipFill>
                  <pic:spPr>
                    <a:xfrm>
                      <a:off x="0" y="0"/>
                      <a:ext cx="7560000" cy="10692000"/>
                    </a:xfrm>
                    <a:prstGeom prst="rect"/>
                  </pic:spPr>
                </pic:pic>
              </a:graphicData>
            </a:graphic>
          </wp:anchor>
        </w:drawing>
      </w:r>
    </w:p>
    <w:p>
      <w:pPr>
        <w:spacing w:before="4800"/>
      </w:pPr>
      <w:r/>
    </w:p>
    <w:p>
      <w:pPr>
        <w:spacing w:after="200"/>
        <w:jc w:val="center"/>
      </w:pPr>
      <w:r>
        <w:rPr>
          <w:b/>
          <w:color w:val="ffffff"/>
          <w:spacing w:val="30"/>
          <w:sz w:val="36"/>
        </w:rPr>
        <w:t>Syrian Private University</w:t>
      </w:r>
    </w:p>
    <w:p>
      <w:pPr>
        <w:spacing w:after="600"/>
        <w:jc w:val="center"/>
      </w:pPr>
      <w:r>
        <w:rPr>
          <w:color w:val="cbd5e0"/>
          <w:sz w:val="28"/>
        </w:rPr>
        <w:t>College of Artificial Intelligence</w:t>
      </w:r>
    </w:p>
    <w:p>
      <w:pPr>
        <w:spacing w:after="300"/>
        <w:jc w:val="center"/>
      </w:pPr>
      <w:r>
        <w:rPr>
          <w:b/>
          <w:color w:val="ed8936"/>
          <w:spacing w:val="50"/>
          <w:sz w:val="72"/>
        </w:rPr>
        <w:t>AI-FireGuard</w:t>
      </w:r>
    </w:p>
    <w:p>
      <w:pPr>
        <w:spacing w:after="800"/>
        <w:jc w:val="center"/>
      </w:pPr>
      <w:r>
        <w:rPr>
          <w:color w:val="cbd5e0"/>
          <w:sz w:val="28"/>
        </w:rPr>
        <w:t>Thermal-RGB Fusion for UAV-Based Wildfire Monitoring</w:t>
      </w:r>
    </w:p>
    <w:p>
      <w:pPr>
        <w:spacing w:after="800"/>
        <w:jc w:val="center"/>
      </w:pPr>
      <w:r>
        <w:rPr>
          <w:color w:val="ed8936"/>
        </w:rPr>
        <w:t>———————————————</w:t>
      </w:r>
    </w:p>
    <w:p>
      <w:pPr>
        <w:spacing w:after="100"/>
        <w:jc w:val="center"/>
      </w:pPr>
      <w:r>
        <w:rPr>
          <w:b/>
          <w:color w:val="ffffff"/>
          <w:sz w:val="24"/>
        </w:rPr>
        <w:t>Prepared By</w:t>
      </w:r>
    </w:p>
    <w:p>
      <w:pPr>
        <w:spacing w:after="400"/>
        <w:jc w:val="center"/>
      </w:pPr>
      <w:r>
        <w:rPr>
          <w:color w:val="cbd5e0"/>
          <w:sz w:val="24"/>
        </w:rPr>
        <w:t>Hanin Shahin  |  Anas Abo Assaf</w:t>
      </w:r>
    </w:p>
    <w:p>
      <w:pPr>
        <w:spacing w:after="100"/>
        <w:jc w:val="center"/>
      </w:pPr>
      <w:r>
        <w:rPr>
          <w:b/>
          <w:color w:val="ffffff"/>
          <w:sz w:val="24"/>
        </w:rPr>
        <w:t>Supervised By</w:t>
      </w:r>
    </w:p>
    <w:p>
      <w:pPr>
        <w:spacing w:after="600"/>
        <w:jc w:val="center"/>
      </w:pPr>
      <w:r>
        <w:rPr>
          <w:color w:val="cbd5e0"/>
          <w:sz w:val="24"/>
        </w:rPr>
        <w:t>Dr. Maissa Abo Kassem</w:t>
      </w:r>
    </w:p>
    <w:p>
      <w:pPr>
        <w:jc w:val="center"/>
      </w:pPr>
      <w:r>
        <w:rPr>
          <w:color w:val="718096"/>
          <w:sz w:val="22"/>
        </w:rPr>
        <w:t>Academic Year 2025–2026</w:t>
      </w:r>
    </w:p>
    <w:p>
      <w:pPr>
        <w:sectPr>
          <w:type w:val="nextPage"/>
          <w:pgSz w:w="11906" w:h="16838"/>
          <w:pgMar w:top="0" w:right="0" w:bottom="0" w:left="0" w:header="0" w:footer="0"/>
          <w:titlePg/>
        </w:sectPr>
      </w:pPr>
    </w:p>
    <w:p>
      <w:pPr>
        <w:spacing w:before="400" w:after="400"/>
        <w:jc w:val="center"/>
      </w:pPr>
      <w:r>
        <w:rPr>
          <w:b/>
          <w:color w:val="1a365d"/>
          <w:sz w:val="40"/>
        </w:rPr>
        <w:t>Table of Contents</w:t>
      </w:r>
    </w:p>
    <w:p>
      <w:pPr>
        <w:spacing w:after="300"/>
      </w:pPr>
      <w:r>
        <w:rPr>
          <w:color w:val="718096"/>
          <w:sz w:val="20"/>
        </w:rPr>
        <w:t>Right-click and select "Update Field" to refresh page numbers</w:t>
      </w:r>
    </w:p>
    <w:p>
      <w:r>
        <w:fldChar w:fldCharType="begin"/>
      </w:r>
      <w:r>
        <w:instrText xml:space="preserve"> TOC \o "1-3" \h \z \u </w:instrText>
      </w:r>
      <w:r>
        <w:fldChar w:fldCharType="separate"/>
      </w:r>
    </w:p>
    <w:p>
      <w:pPr>
        <w:pStyle w:val="TOC1"/>
      </w:pPr>
      <w:r>
        <w:t>Abstract</w:t>
      </w:r>
      <w:r>
        <w:tab/>
      </w:r>
      <w:r>
        <w:t>3</w:t>
      </w:r>
    </w:p>
    <w:p>
      <w:pPr>
        <w:pStyle w:val="TOC1"/>
      </w:pPr>
      <w:r>
        <w:t>Chapter One: Introduction</w:t>
      </w:r>
      <w:r>
        <w:tab/>
      </w:r>
      <w:r>
        <w:t>4</w:t>
      </w:r>
    </w:p>
    <w:p>
      <w:pPr>
        <w:pStyle w:val="TOC2"/>
      </w:pPr>
      <w:r>
        <w:t>1.1 Background and Motivation</w:t>
      </w:r>
      <w:r>
        <w:tab/>
      </w:r>
      <w:r>
        <w:t>4</w:t>
      </w:r>
    </w:p>
    <w:p>
      <w:pPr>
        <w:pStyle w:val="TOC2"/>
      </w:pPr>
      <w:r>
        <w:t>1.2 Causes of Wildfires</w:t>
      </w:r>
      <w:r>
        <w:tab/>
      </w:r>
      <w:r>
        <w:t>5</w:t>
      </w:r>
    </w:p>
    <w:p>
      <w:pPr>
        <w:pStyle w:val="TOC2"/>
      </w:pPr>
      <w:r>
        <w:t>1.3 Project Objectives</w:t>
      </w:r>
      <w:r>
        <w:tab/>
      </w:r>
      <w:r>
        <w:t>5</w:t>
      </w:r>
    </w:p>
    <w:p>
      <w:pPr>
        <w:pStyle w:val="TOC2"/>
      </w:pPr>
      <w:r>
        <w:t>1.4 Comparison with Traditional Approaches</w:t>
      </w:r>
      <w:r>
        <w:tab/>
      </w:r>
      <w:r>
        <w:t>6</w:t>
      </w:r>
    </w:p>
    <w:p>
      <w:pPr>
        <w:pStyle w:val="TOC1"/>
      </w:pPr>
      <w:r>
        <w:t>Chapter Two: Reference Studies</w:t>
      </w:r>
      <w:r>
        <w:tab/>
      </w:r>
      <w:r>
        <w:t>7</w:t>
      </w:r>
    </w:p>
    <w:p>
      <w:pPr>
        <w:pStyle w:val="TOC2"/>
      </w:pPr>
      <w:r>
        <w:t>2.1 NASA AMS Wildfire</w:t>
      </w:r>
      <w:r>
        <w:tab/>
      </w:r>
      <w:r>
        <w:t>7</w:t>
      </w:r>
    </w:p>
    <w:p>
      <w:pPr>
        <w:pStyle w:val="TOC2"/>
      </w:pPr>
      <w:r>
        <w:t>2.2 AEFRN</w:t>
      </w:r>
      <w:r>
        <w:tab/>
      </w:r>
      <w:r>
        <w:t>8</w:t>
      </w:r>
    </w:p>
    <w:p>
      <w:pPr>
        <w:pStyle w:val="TOC2"/>
      </w:pPr>
      <w:r>
        <w:t>2.3 FireVision</w:t>
      </w:r>
      <w:r>
        <w:tab/>
      </w:r>
      <w:r>
        <w:t>9</w:t>
      </w:r>
    </w:p>
    <w:p>
      <w:pPr>
        <w:pStyle w:val="TOC2"/>
      </w:pPr>
      <w:r>
        <w:t>2.4 DetectiumFire</w:t>
      </w:r>
      <w:r>
        <w:tab/>
      </w:r>
      <w:r>
        <w:t>10</w:t>
      </w:r>
    </w:p>
    <w:p>
      <w:pPr>
        <w:pStyle w:val="TOC2"/>
      </w:pPr>
      <w:r>
        <w:t>2.5 LP-YOLO</w:t>
      </w:r>
      <w:r>
        <w:tab/>
      </w:r>
      <w:r>
        <w:t>11</w:t>
      </w:r>
    </w:p>
    <w:p>
      <w:pPr>
        <w:pStyle w:val="TOC2"/>
      </w:pPr>
      <w:r>
        <w:t>2.6 FlameGuard</w:t>
      </w:r>
      <w:r>
        <w:tab/>
      </w:r>
      <w:r>
        <w:t>12</w:t>
      </w:r>
    </w:p>
    <w:p>
      <w:pPr>
        <w:pStyle w:val="TOC2"/>
      </w:pPr>
      <w:r>
        <w:t>2.7 Multimodal Fusion</w:t>
      </w:r>
      <w:r>
        <w:tab/>
      </w:r>
      <w:r>
        <w:t>12</w:t>
      </w:r>
    </w:p>
    <w:p>
      <w:pPr>
        <w:pStyle w:val="TOC2"/>
      </w:pPr>
      <w:r>
        <w:t>2.8 FFDNet</w:t>
      </w:r>
      <w:r>
        <w:tab/>
      </w:r>
      <w:r>
        <w:t>13</w:t>
      </w:r>
    </w:p>
    <w:p>
      <w:pPr>
        <w:pStyle w:val="TOC2"/>
      </w:pPr>
      <w:r>
        <w:t>2.9 ResCaps-TC-Attn-Fire</w:t>
      </w:r>
      <w:r>
        <w:tab/>
      </w:r>
      <w:r>
        <w:t>13</w:t>
      </w:r>
    </w:p>
    <w:p>
      <w:pPr>
        <w:pStyle w:val="TOC2"/>
      </w:pPr>
      <w:r>
        <w:t>2.10 Comparative Summary</w:t>
      </w:r>
      <w:r>
        <w:tab/>
      </w:r>
      <w:r>
        <w:t>14</w:t>
      </w:r>
    </w:p>
    <w:p>
      <w:pPr>
        <w:pStyle w:val="TOC1"/>
      </w:pPr>
      <w:r>
        <w:t>Chapter Three: Dataset Overview</w:t>
      </w:r>
      <w:r>
        <w:tab/>
      </w:r>
      <w:r>
        <w:t>15</w:t>
      </w:r>
    </w:p>
    <w:p>
      <w:pPr>
        <w:pStyle w:val="TOC2"/>
      </w:pPr>
      <w:r>
        <w:t>3.1 FLAME-2 Dataset</w:t>
      </w:r>
      <w:r>
        <w:tab/>
      </w:r>
      <w:r>
        <w:t>15</w:t>
      </w:r>
    </w:p>
    <w:p>
      <w:pPr>
        <w:pStyle w:val="TOC2"/>
      </w:pPr>
      <w:r>
        <w:t>3.2 Dataset Usage in AI-FireGuard</w:t>
      </w:r>
      <w:r>
        <w:tab/>
      </w:r>
      <w:r>
        <w:t>17</w:t>
      </w:r>
    </w:p>
    <w:p>
      <w:pPr>
        <w:pStyle w:val="TOC1"/>
      </w:pPr>
      <w:r>
        <w:t>Chapter Four: Methodology</w:t>
      </w:r>
      <w:r>
        <w:tab/>
      </w:r>
      <w:r>
        <w:t>18</w:t>
      </w:r>
    </w:p>
    <w:p>
      <w:pPr>
        <w:pStyle w:val="TOC2"/>
      </w:pPr>
      <w:r>
        <w:t>4.1 System Architecture Overview</w:t>
      </w:r>
      <w:r>
        <w:tab/>
      </w:r>
      <w:r>
        <w:t>18</w:t>
      </w:r>
    </w:p>
    <w:p>
      <w:pPr>
        <w:pStyle w:val="TOC2"/>
      </w:pPr>
      <w:r>
        <w:t>4.2 Stage 1: Convolutional Autoencoder</w:t>
      </w:r>
      <w:r>
        <w:tab/>
      </w:r>
      <w:r>
        <w:t>19</w:t>
      </w:r>
    </w:p>
    <w:p>
      <w:pPr>
        <w:pStyle w:val="TOC2"/>
      </w:pPr>
      <w:r>
        <w:t>4.3 Stage 2: Anomaly Scoring and Threshold Calibration</w:t>
      </w:r>
      <w:r>
        <w:tab/>
      </w:r>
      <w:r>
        <w:t>21</w:t>
      </w:r>
    </w:p>
    <w:p>
      <w:pPr>
        <w:pStyle w:val="TOC2"/>
      </w:pPr>
      <w:r>
        <w:t>4.4 Stage 3: Bounding Box Extraction</w:t>
      </w:r>
      <w:r>
        <w:tab/>
      </w:r>
      <w:r>
        <w:t>22</w:t>
      </w:r>
    </w:p>
    <w:p>
      <w:pPr>
        <w:pStyle w:val="TOC2"/>
      </w:pPr>
      <w:r>
        <w:t>4.5 Stage 4: YOLOv11s Object Detector</w:t>
      </w:r>
      <w:r>
        <w:tab/>
      </w:r>
      <w:r>
        <w:t>23</w:t>
      </w:r>
    </w:p>
    <w:p>
      <w:pPr>
        <w:pStyle w:val="TOC1"/>
      </w:pPr>
      <w:r>
        <w:t>Chapter Five: Training and Evaluation Results</w:t>
      </w:r>
      <w:r>
        <w:tab/>
      </w:r>
      <w:r>
        <w:t>24</w:t>
      </w:r>
    </w:p>
    <w:p>
      <w:pPr>
        <w:pStyle w:val="TOC2"/>
      </w:pPr>
      <w:r>
        <w:t>5.1 Autoencoder Training Results</w:t>
      </w:r>
      <w:r>
        <w:tab/>
      </w:r>
      <w:r>
        <w:t>24</w:t>
      </w:r>
    </w:p>
    <w:p>
      <w:pPr>
        <w:pStyle w:val="TOC2"/>
      </w:pPr>
      <w:r>
        <w:t>5.2 Anomaly Detection Performance</w:t>
      </w:r>
      <w:r>
        <w:tab/>
      </w:r>
      <w:r>
        <w:t>25</w:t>
      </w:r>
    </w:p>
    <w:p>
      <w:pPr>
        <w:pStyle w:val="TOC2"/>
      </w:pPr>
      <w:r>
        <w:t>5.3 YOLOv11s Detection Results</w:t>
      </w:r>
      <w:r>
        <w:tab/>
      </w:r>
      <w:r>
        <w:t>26</w:t>
      </w:r>
    </w:p>
    <w:p>
      <w:pPr>
        <w:pStyle w:val="TOC2"/>
      </w:pPr>
      <w:r>
        <w:t>5.4 Comparison with Reference Studies</w:t>
      </w:r>
      <w:r>
        <w:tab/>
      </w:r>
      <w:r>
        <w:t>27</w:t>
      </w:r>
    </w:p>
    <w:p>
      <w:pPr>
        <w:pStyle w:val="TOC1"/>
      </w:pPr>
      <w:r>
        <w:t>Chapter Six: Challenges and Limitations</w:t>
      </w:r>
      <w:r>
        <w:tab/>
      </w:r>
      <w:r>
        <w:t>28</w:t>
      </w:r>
    </w:p>
    <w:p>
      <w:pPr>
        <w:pStyle w:val="TOC1"/>
      </w:pPr>
      <w:r>
        <w:t>Chapter Seven: Future Recommendations</w:t>
      </w:r>
      <w:r>
        <w:tab/>
      </w:r>
      <w:r>
        <w:t>29</w:t>
      </w:r>
    </w:p>
    <w:p>
      <w:pPr>
        <w:pStyle w:val="TOC1"/>
      </w:pPr>
      <w:r>
        <w:t>References</w:t>
      </w:r>
      <w:r>
        <w:tab/>
      </w:r>
      <w:r>
        <w:t>31</w:t>
      </w:r>
    </w:p>
    <w:p>
      <w:pPr>
        <w:pStyle w:val="TOC1"/>
      </w:pPr>
      <w:r>
        <w:t>Appendix</w:t>
      </w:r>
      <w:r>
        <w:tab/>
      </w:r>
      <w:r>
        <w:t>32</w:t>
      </w:r>
    </w:p>
    <w:p>
      <w:r>
        <w:fldChar w:fldCharType="end"/>
      </w:r>
    </w:p>
    <w:p>
      <w:pPr>
        <w:sectPr>
          <w:type w:val="nextPage"/>
          <w:pgSz w:w="11906" w:h="16838"/>
          <w:pgMar w:top="1440" w:right="1440" w:bottom="1440" w:left="1440" w:header="720" w:footer="720"/>
        </w:sectPr>
      </w:pPr>
    </w:p>
    <w:p>
      <w:pPr>
        <w:pStyle w:val="Heading1"/>
      </w:pPr>
      <w:r>
        <w:t xml:space="preserve">  Abstract</w:t>
      </w:r>
      <w:bookmarkStart w:name="_Toc001" w:id="1"/>
      <w:bookmarkEnd w:id="1"/>
    </w:p>
    <w:p>
      <w:pPr>
        <w:pStyle w:val="Normal"/>
      </w:pPr>
      <w:r>
        <w:t xml:space="preserve">Wildfires represent one of the most destructive natural hazards, posing severe threats to ecosystems, property, and human lives. Early detection and accurate real-time monitoring are critical for minimizing losses and guiding emergency response operations. Traditional satellite- or ground-based monitoring methods frequently suffer from low spatial resolution, delayed data updates, and limited area coverage. Unmanned Aerial Vehicles (UAVs) equipped with synchronized thermal infrared (IR) and RGB optical sensors offer a compelling alternative, providing high-resolution, real-time wildfire surveillance over large, difficult-to-access areas.</w:t>
      </w:r>
    </w:p>
    <w:p>
      <w:pPr>
        <w:pStyle w:val="Normal"/>
      </w:pPr>
      <w:r>
        <w:t xml:space="preserve">This project presents AI-FireGuard, an intelligent fire detection system that leverages the complementary strengths of thermal and RGB UAV imagery. The thermal channel highlights heat sources and fire signatures even through dense smoke and in low-light conditions, while the RGB channel supplies detailed visual context for accurate localization and scene understanding. By fusing these two modalities, AI-FireGuard achieves improved detection robustness compared to single-sensor approaches.</w:t>
      </w:r>
    </w:p>
    <w:p>
      <w:pPr>
        <w:pStyle w:val="Normal"/>
      </w:pPr>
      <w:r>
        <w:t xml:space="preserve">The core detection pipeline is built around a Convolutional Autoencoder trained exclusively on fire-free (no-fire) thermal frames from the FLAME-2 dataset. The autoencoder learns the normal thermal signature of a fire-free scene; at inference time, frames containing fire produce abnormally high reconstruction errors, which serve as anomaly scores. A Youden-J-optimal threshold calibrated on held-out calibration frames separates fire from no-fire detections. Bounding boxes are extracted from per-pixel error maps and used as pseudo-labels to train a YOLOv11s object detector for efficient real-time fire localization.</w:t>
      </w:r>
    </w:p>
    <w:p>
      <w:pPr>
        <w:pStyle w:val="Normal"/>
      </w:pPr>
      <w:r>
        <w:t xml:space="preserve">The system achieves a ROC AUC of 0.9845 and an Average Precision (AP) of 0.9884 at the anomaly-detection stage. After YOLO training on the pseudo-labeled dataset (38,901 training frames; 14,550 validation frames), the detector reaches mAP@0.5 = 0.985 and mAP@0.5–0.95 = 0.774, with precision 0.962 and recall 0.954. These results demonstrate the viability of unsupervised anomaly detection as a scalable, label-efficient solution for UAV-based wildfire monitoring.</w:t>
      </w:r>
    </w:p>
    <w:p>
      <w:pPr>
        <w:pStyle w:val="Heading1"/>
      </w:pPr>
      <w:r>
        <w:t xml:space="preserve">  Chapter One: Introduction</w:t>
      </w:r>
      <w:bookmarkStart w:name="_Toc002" w:id="2"/>
      <w:bookmarkEnd w:id="2"/>
    </w:p>
    <w:p>
      <w:pPr>
        <w:pStyle w:val="Heading2"/>
      </w:pPr>
      <w:r>
        <w:t>1.1 Background and Motivation</w:t>
      </w:r>
    </w:p>
    <w:p>
      <w:pPr>
        <w:pStyle w:val="Normal"/>
      </w:pPr>
      <w:r>
        <w:t xml:space="preserve">Wildfires are among the most destructive natural hazards affecting global ecosystems. Extended droughts, rising temperatures, and the expansion of human activities into wildland–urban interface zones have significantly increased both the frequency and severity of wildfire events in recent decades. The consequences include the loss of human life, destruction of infrastructure, irreversible degradation of biodiversity, and the release of vast quantities of greenhouse gases that further exacerbate climate change.</w:t>
      </w:r>
    </w:p>
    <w:p>
      <w:pPr>
        <w:pStyle w:val="Normal"/>
      </w:pPr>
      <w:r>
        <w:t xml:space="preserve">Effective wildfire management hinges on early detection and rapid situational awareness. Every minute of delay in identifying and reporting a fire dramatically increases the area burned, the cost of suppression, and the risk to firefighters and communities. Conventional monitoring approaches — including fixed observation towers, ground-based sensor networks, manned aircraft patrols, and satellite imagery — each present significant limitations in terms of response latency, spatial coverage, and cost.</w:t>
      </w:r>
    </w:p>
    <w:p>
      <w:pPr>
        <w:pStyle w:val="Normal"/>
      </w:pPr>
      <w:r>
        <w:t xml:space="preserve">Unmanned Aerial Vehicles (UAVs) equipped with multi-spectral sensors have emerged as a highly promising platform for wildfire monitoring. Their ability to be deployed rapidly, to fly at low altitudes for high-resolution imaging, and to operate autonomously over extended areas makes them well suited for real-time fire surveillance. Among sensor modalities, the combination of thermal infrared (IR) and RGB visible-light cameras is particularly powerful: the thermal channel detects heat anomalies that are the earliest physical signatures of fire, even under conditions of dense smoke or night-time darkness, while the RGB channel provides the spatial context and visual detail needed for accurate localization and scene interpretation.</w:t>
      </w:r>
    </w:p>
    <w:p>
      <w:pPr>
        <w:pStyle w:val="Heading2"/>
      </w:pPr>
      <w:r>
        <w:t>1.2 Causes of Wildfires</w:t>
      </w:r>
    </w:p>
    <w:p>
      <w:pPr>
        <w:spacing w:after="120" w:line="312" w:lineRule="auto"/>
        <w:ind w:left="720" w:hanging="360"/>
      </w:pPr>
      <w:r>
        <w:rPr>
          <w:color w:val="1a202c"/>
        </w:rPr>
        <w:t xml:space="preserve">•  Lightning strikes are the predominant natural ignition source, particularly in remote forests where dry vegetation accumulates over years of drought.</w:t>
      </w:r>
    </w:p>
    <w:p>
      <w:pPr>
        <w:spacing w:after="120" w:line="312" w:lineRule="auto"/>
        <w:ind w:left="720" w:hanging="360"/>
      </w:pPr>
      <w:r>
        <w:rPr>
          <w:color w:val="1a202c"/>
        </w:rPr>
        <w:t xml:space="preserve">•  Prolonged drought and elevated ambient temperatures desiccate surface fuels, dramatically increasing fire susceptibility.</w:t>
      </w:r>
    </w:p>
    <w:p>
      <w:pPr>
        <w:spacing w:after="120" w:line="312" w:lineRule="auto"/>
        <w:ind w:left="720" w:hanging="360"/>
      </w:pPr>
      <w:r>
        <w:rPr>
          <w:color w:val="1a202c"/>
        </w:rPr>
        <w:t xml:space="preserve">•  Human activities — including unattended campfires, discarded cigarettes, agricultural burning, and arson — constitute a major share of ignition events, especially in peri-urban wildlands.</w:t>
      </w:r>
    </w:p>
    <w:p>
      <w:pPr>
        <w:spacing w:after="120" w:line="312" w:lineRule="auto"/>
        <w:ind w:left="720" w:hanging="360"/>
      </w:pPr>
      <w:r>
        <w:rPr>
          <w:color w:val="1a202c"/>
        </w:rPr>
        <w:t xml:space="preserve">•  Electrical infrastructure failures (downed power lines, transformer sparks) are a significant source of ignition in areas with aging grid infrastructure.</w:t>
      </w:r>
    </w:p>
    <w:p>
      <w:pPr>
        <w:spacing w:after="120" w:line="312" w:lineRule="auto"/>
        <w:ind w:left="720" w:hanging="360"/>
      </w:pPr>
      <w:r>
        <w:rPr>
          <w:color w:val="1a202c"/>
        </w:rPr>
        <w:t xml:space="preserve">•  Wind patterns, terrain slope, and aspect collectively determine fire spread rate and direction, complicating both detection and suppression.</w:t>
      </w:r>
    </w:p>
    <w:p>
      <w:pPr>
        <w:pStyle w:val="Heading2"/>
      </w:pPr>
      <w:r>
        <w:t>1.3 Project Objectives</w:t>
      </w:r>
    </w:p>
    <w:p>
      <w:pPr>
        <w:pStyle w:val="Normal"/>
      </w:pPr>
      <w:r>
        <w:t xml:space="preserve">AI-FireGuard is designed to address the following objectives:</w:t>
      </w:r>
    </w:p>
    <w:p>
      <w:pPr>
        <w:numPr>
          <w:ilvl w:val="0"/>
          <w:numId w:val="1"/>
        </w:numPr>
      </w:pPr>
      <w:r>
        <w:t xml:space="preserve">Develop an unsupervised anomaly detection model for thermal IR imagery that does not require manually labeled fire bounding boxes for training.</w:t>
      </w:r>
    </w:p>
    <w:p>
      <w:pPr>
        <w:numPr>
          <w:ilvl w:val="0"/>
          <w:numId w:val="1"/>
        </w:numPr>
      </w:pPr>
      <w:r>
        <w:t xml:space="preserve">Generate high-quality pseudo-annotations from the anomaly detector's per-pixel error maps to enable the training of a fast, real-time YOLO-based object detector.</w:t>
      </w:r>
    </w:p>
    <w:p>
      <w:pPr>
        <w:numPr>
          <w:ilvl w:val="0"/>
          <w:numId w:val="1"/>
        </w:numPr>
      </w:pPr>
      <w:r>
        <w:t xml:space="preserve">Achieve state-of-the-art detection performance on the FLAME-2 benchmark dataset while maintaining computational efficiency suitable for edge deployment on UAV platforms.</w:t>
      </w:r>
    </w:p>
    <w:p>
      <w:pPr>
        <w:numPr>
          <w:ilvl w:val="0"/>
          <w:numId w:val="1"/>
        </w:numPr>
      </w:pPr>
      <w:r>
        <w:t xml:space="preserve">Provide a scalable, modular pipeline that can be retrained on new environmental conditions with minimal human labeling effort.</w:t>
      </w:r>
    </w:p>
    <w:p>
      <w:pPr>
        <w:pStyle w:val="Heading2"/>
      </w:pPr>
      <w:r>
        <w:t>1.4 Comparison with Traditional Approaches</w:t>
      </w:r>
    </w:p>
    <w:p>
      <w:pPr>
        <w:pStyle w:val="Normal"/>
      </w:pPr>
      <w:r>
        <w:t xml:space="preserve">Compared to conventional wildfire monitoring systems, which depend on satellites or ground-based sensors characterized by update delays and limited spatial resolution, AI-powered UAV systems offer substantial advantages. By analyzing synchronized thermal and RGB imagery in near real-time using deep learning models, AI-FireGuard is capable of identifying subtle fire and smoke signatures even under challenging conditions such as dense smoke cover, complex terrain, and low-light environments. This capability leads to faster alerts, quicker mobilization of emergency response resources, and significantly reduced environmental and property damage.</w:t>
      </w:r>
    </w:p>
    <w:p>
      <w:pPr>
        <w:pStyle w:val="Heading1"/>
      </w:pPr>
      <w:r>
        <w:t xml:space="preserve">  Chapter Two: Reference Studies</w:t>
      </w:r>
      <w:bookmarkStart w:name="_Toc003" w:id="3"/>
      <w:bookmarkEnd w:id="3"/>
    </w:p>
    <w:p>
      <w:pPr>
        <w:pStyle w:val="Normal"/>
      </w:pPr>
      <w:r>
        <w:t xml:space="preserve">This chapter provides a scientific review of nine peer-reviewed research studies that informed the design, methodology, and evaluation criteria of the AI-FireGuard system. Each study is analyzed with respect to its objectives, data, methodology, results, and relevance to the present work.</w:t>
      </w:r>
    </w:p>
    <w:p>
      <w:pPr>
        <w:pStyle w:val="Heading2"/>
      </w:pPr>
      <w:r>
        <w:t>2.1 NASA AMS Wildfire — Real-Time Wildfire Localization on the NASA Autonomous Modular Sensor (2026)</w:t>
      </w:r>
    </w:p>
    <w:p>
      <w:pPr>
        <w:pStyle w:val="Heading3"/>
      </w:pPr>
      <w:r>
        <w:t>2.1.1 Overview</w:t>
      </w:r>
    </w:p>
    <w:p>
      <w:pPr>
        <w:pStyle w:val="Normal"/>
      </w:pPr>
      <w:r>
        <w:t xml:space="preserve">This study, authored by researchers at NASA Ames Research Center, presents an automated two-tier deep learning system for real-time wildfire detection and boundary delineation using high-altitude multi-spectral airborne imagery. The system is designed to replace time-intensive manual analysis of NASA Autonomous Modular Sensor (AMS) data, accelerating the operational response to wildfire events.</w:t>
      </w:r>
    </w:p>
    <w:p>
      <w:pPr>
        <w:pStyle w:val="Heading3"/>
      </w:pPr>
      <w:r>
        <w:t>2.1.2 Dataset and Methodology</w:t>
      </w:r>
    </w:p>
    <w:p>
      <w:pPr>
        <w:pStyle w:val="Normal"/>
      </w:pPr>
      <w:r>
        <w:t xml:space="preserve">A novel dataset was constructed from 18 real NASA AMS flight missions over active wildfires (2006–2019) aboard the Ikhana aircraft at an altitude of 13.5 km. The dataset comprises 12 spectral channels spanning visible, shortwave infrared (SWIR), IR, and thermal bands at 10 m/pixel resolution. Images were tiled into 4,344 patches of 256×256 pixels (4,259 training, 85 test), each manually annotated at the pixel level for active fire regions.</w:t>
      </w:r>
    </w:p>
    <w:p>
      <w:pPr>
        <w:pStyle w:val="Normal"/>
      </w:pPr>
      <w:r>
        <w:t xml:space="preserve">The two-tier architecture consists of (1) a classification network based on a U-Net encoder that rapidly identifies patches containing fire (inference time: 1.19 ms), and (2) a segmentation network with full encoder–decoder skip connections that delineates fire boundaries at the pixel level for patches flagged by the classifier (inference time: 7.75 ms).</w:t>
      </w:r>
    </w:p>
    <w:p>
      <w:pPr>
        <w:pStyle w:val="Heading3"/>
      </w:pPr>
      <w:r>
        <w:t>2.1.3 Key Results</w:t>
      </w:r>
    </w:p>
    <w:tbl>
      <w:tblPr>
        <w:tblW w:w="5000" w:type="pct"/>
        <w:tblBorders>
          <w:top w:val="single" w:color="1a365d" w:sz="12"/>
          <w:left w:val="nil"/>
          <w:bottom w:val="single" w:color="1a365d" w:sz="12"/>
          <w:right w:val="nil"/>
          <w:insideH w:val="single" w:color="e2e8f0" w:sz="4"/>
          <w:insideV w:val="nil"/>
        </w:tblBorders>
      </w:tblPr>
      <w:tblGrid>
        <w:gridCol w:w="3000"/>
        <w:gridCol w:w="3000"/>
        <w:gridCol w:w="3000"/>
      </w:tblGrid>
      <w:tr>
        <w:trPr>
          <w:tblHeader/>
        </w:trPr>
        <w:tc>
          <w:tcPr>
            <w:tcW w:w="3000" w:type="dxa"/>
            <w:shd w:val="clear" w:fill="edf2f7"/>
            <w:vAlign w:val="center"/>
          </w:tcPr>
          <w:p>
            <w:pPr>
              <w:spacing w:before="60" w:after="60"/>
              <w:jc w:val="center"/>
            </w:pPr>
            <w:r>
              <w:rPr>
                <w:b/>
                <w:color w:val="1a202c"/>
                <w:sz w:val="20"/>
              </w:rPr>
              <w:t>Metric</w:t>
            </w:r>
          </w:p>
        </w:tc>
        <w:tc>
          <w:tcPr>
            <w:tcW w:w="3000" w:type="dxa"/>
            <w:shd w:val="clear" w:fill="edf2f7"/>
            <w:vAlign w:val="center"/>
          </w:tcPr>
          <w:p>
            <w:pPr>
              <w:spacing w:before="60" w:after="60"/>
              <w:jc w:val="center"/>
            </w:pPr>
            <w:r>
              <w:rPr>
                <w:b/>
                <w:color w:val="1a202c"/>
                <w:sz w:val="20"/>
              </w:rPr>
              <w:t>Classification (12 ch)</w:t>
            </w:r>
          </w:p>
        </w:tc>
        <w:tc>
          <w:tcPr>
            <w:tcW w:w="3000" w:type="dxa"/>
            <w:shd w:val="clear" w:fill="edf2f7"/>
            <w:vAlign w:val="center"/>
          </w:tcPr>
          <w:p>
            <w:pPr>
              <w:spacing w:before="60" w:after="60"/>
              <w:jc w:val="center"/>
            </w:pPr>
            <w:r>
              <w:rPr>
                <w:b/>
                <w:color w:val="1a202c"/>
                <w:sz w:val="20"/>
              </w:rPr>
              <w:t>Segmentation (12 ch)</w:t>
            </w:r>
          </w:p>
        </w:tc>
      </w:tr>
      <w:tr>
        <w:tc>
          <w:tcPr>
            <w:tcW w:w="3000" w:type="dxa"/>
            <w:vAlign w:val="center"/>
          </w:tcPr>
          <w:p>
            <w:pPr>
              <w:spacing w:before="40" w:after="40"/>
              <w:jc w:val="center"/>
            </w:pPr>
            <w:r>
              <w:rPr>
                <w:color w:val="4a5568"/>
                <w:sz w:val="20"/>
              </w:rPr>
              <w:t xml:space="preserve">Accuracy</w:t>
            </w:r>
          </w:p>
        </w:tc>
        <w:tc>
          <w:tcPr>
            <w:tcW w:w="3000" w:type="dxa"/>
            <w:vAlign w:val="center"/>
          </w:tcPr>
          <w:p>
            <w:pPr>
              <w:spacing w:before="40" w:after="40"/>
              <w:jc w:val="center"/>
            </w:pPr>
            <w:r>
              <w:rPr>
                <w:color w:val="4a5568"/>
                <w:sz w:val="20"/>
              </w:rPr>
              <w:t xml:space="preserve">96.8%</w:t>
            </w:r>
          </w:p>
        </w:tc>
        <w:tc>
          <w:tcPr>
            <w:tcW w:w="3000" w:type="dxa"/>
            <w:vAlign w:val="center"/>
          </w:tcPr>
          <w:p>
            <w:pPr>
              <w:spacing w:before="40" w:after="40"/>
              <w:jc w:val="center"/>
            </w:pPr>
            <w:r>
              <w:rPr>
                <w:color w:val="4a5568"/>
                <w:sz w:val="20"/>
              </w:rPr>
              <w:t xml:space="preserve">96.0%</w:t>
            </w:r>
          </w:p>
        </w:tc>
      </w:tr>
      <w:tr>
        <w:tc>
          <w:tcPr>
            <w:tcW w:w="3000" w:type="dxa"/>
            <w:vAlign w:val="center"/>
          </w:tcPr>
          <w:p>
            <w:pPr>
              <w:spacing w:before="40" w:after="40"/>
              <w:jc w:val="center"/>
            </w:pPr>
            <w:r>
              <w:rPr>
                <w:color w:val="4a5568"/>
                <w:sz w:val="20"/>
              </w:rPr>
              <w:t xml:space="preserve">Precision</w:t>
            </w:r>
          </w:p>
        </w:tc>
        <w:tc>
          <w:tcPr>
            <w:tcW w:w="3000" w:type="dxa"/>
            <w:vAlign w:val="center"/>
          </w:tcPr>
          <w:p>
            <w:pPr>
              <w:spacing w:before="40" w:after="40"/>
              <w:jc w:val="center"/>
            </w:pPr>
            <w:r>
              <w:rPr>
                <w:color w:val="4a5568"/>
                <w:sz w:val="20"/>
              </w:rPr>
              <w:t xml:space="preserve">82.1%</w:t>
            </w:r>
          </w:p>
        </w:tc>
        <w:tc>
          <w:tcPr>
            <w:tcW w:w="3000" w:type="dxa"/>
            <w:vAlign w:val="center"/>
          </w:tcPr>
          <w:p>
            <w:pPr>
              <w:spacing w:before="40" w:after="40"/>
              <w:jc w:val="center"/>
            </w:pPr>
            <w:r>
              <w:rPr>
                <w:color w:val="4a5568"/>
                <w:sz w:val="20"/>
              </w:rPr>
              <w:t xml:space="preserve">58.6%</w:t>
            </w:r>
          </w:p>
        </w:tc>
      </w:tr>
      <w:tr>
        <w:tc>
          <w:tcPr>
            <w:tcW w:w="3000" w:type="dxa"/>
            <w:vAlign w:val="center"/>
          </w:tcPr>
          <w:p>
            <w:pPr>
              <w:spacing w:before="40" w:after="40"/>
              <w:jc w:val="center"/>
            </w:pPr>
            <w:r>
              <w:rPr>
                <w:color w:val="4a5568"/>
                <w:sz w:val="20"/>
              </w:rPr>
              <w:t xml:space="preserve">Recall</w:t>
            </w:r>
          </w:p>
        </w:tc>
        <w:tc>
          <w:tcPr>
            <w:tcW w:w="3000" w:type="dxa"/>
            <w:vAlign w:val="center"/>
          </w:tcPr>
          <w:p>
            <w:pPr>
              <w:spacing w:before="40" w:after="40"/>
              <w:jc w:val="center"/>
            </w:pPr>
            <w:r>
              <w:rPr>
                <w:color w:val="4a5568"/>
                <w:sz w:val="20"/>
              </w:rPr>
              <w:t xml:space="preserve">77.8%</w:t>
            </w:r>
          </w:p>
        </w:tc>
        <w:tc>
          <w:tcPr>
            <w:tcW w:w="3000" w:type="dxa"/>
            <w:vAlign w:val="center"/>
          </w:tcPr>
          <w:p>
            <w:pPr>
              <w:spacing w:before="40" w:after="40"/>
              <w:jc w:val="center"/>
            </w:pPr>
            <w:r>
              <w:rPr>
                <w:color w:val="4a5568"/>
                <w:sz w:val="20"/>
              </w:rPr>
              <w:t xml:space="preserve">84.0%</w:t>
            </w:r>
          </w:p>
        </w:tc>
      </w:tr>
      <w:tr>
        <w:tc>
          <w:tcPr>
            <w:tcW w:w="3000" w:type="dxa"/>
            <w:vAlign w:val="center"/>
          </w:tcPr>
          <w:p>
            <w:pPr>
              <w:spacing w:before="40" w:after="40"/>
              <w:jc w:val="center"/>
            </w:pPr>
            <w:r>
              <w:rPr>
                <w:color w:val="4a5568"/>
                <w:sz w:val="20"/>
              </w:rPr>
              <w:t xml:space="preserve">IoU</w:t>
            </w:r>
          </w:p>
        </w:tc>
        <w:tc>
          <w:tcPr>
            <w:tcW w:w="3000" w:type="dxa"/>
            <w:vAlign w:val="center"/>
          </w:tcPr>
          <w:p>
            <w:pPr>
              <w:spacing w:before="40" w:after="40"/>
              <w:jc w:val="center"/>
            </w:pPr>
            <w:r>
              <w:rPr>
                <w:color w:val="4a5568"/>
                <w:sz w:val="20"/>
              </w:rPr>
              <w:t xml:space="preserve">—</w:t>
            </w:r>
          </w:p>
        </w:tc>
        <w:tc>
          <w:tcPr>
            <w:tcW w:w="3000" w:type="dxa"/>
            <w:vAlign w:val="center"/>
          </w:tcPr>
          <w:p>
            <w:pPr>
              <w:spacing w:before="40" w:after="40"/>
              <w:jc w:val="center"/>
            </w:pPr>
            <w:r>
              <w:rPr>
                <w:color w:val="4a5568"/>
                <w:sz w:val="20"/>
              </w:rPr>
              <w:t xml:space="preserve">74.0%</w:t>
            </w:r>
          </w:p>
        </w:tc>
      </w:tr>
      <w:tr>
        <w:tc>
          <w:tcPr>
            <w:tcW w:w="3000" w:type="dxa"/>
            <w:vAlign w:val="center"/>
          </w:tcPr>
          <w:p>
            <w:pPr>
              <w:spacing w:before="40" w:after="40"/>
              <w:jc w:val="center"/>
            </w:pPr>
            <w:r>
              <w:rPr>
                <w:color w:val="4a5568"/>
                <w:sz w:val="20"/>
              </w:rPr>
              <w:t xml:space="preserve">Throughput</w:t>
            </w:r>
          </w:p>
        </w:tc>
        <w:tc>
          <w:tcPr>
            <w:tcW w:w="3000" w:type="dxa"/>
            <w:vAlign w:val="center"/>
          </w:tcPr>
          <w:p>
            <w:pPr>
              <w:spacing w:before="40" w:after="40"/>
              <w:jc w:val="center"/>
            </w:pPr>
            <w:r>
              <w:rPr>
                <w:color w:val="4a5568"/>
                <w:sz w:val="20"/>
              </w:rPr>
              <w:t xml:space="preserve">&gt;100 FPS (GPU)</w:t>
            </w:r>
          </w:p>
        </w:tc>
        <w:tc>
          <w:tcPr>
            <w:tcW w:w="3000" w:type="dxa"/>
            <w:vAlign w:val="center"/>
          </w:tcPr>
          <w:p>
            <w:pPr>
              <w:spacing w:before="40" w:after="40"/>
              <w:jc w:val="center"/>
            </w:pPr>
            <w:r>
              <w:rPr>
                <w:color w:val="4a5568"/>
                <w:sz w:val="20"/>
              </w:rPr>
              <w:t xml:space="preserve">&gt;100 FPS (GPU)</w:t>
            </w:r>
          </w:p>
        </w:tc>
      </w:tr>
    </w:tbl>
    <w:p>
      <w:pPr>
        <w:pStyle w:val="Heading3"/>
      </w:pPr>
      <w:r>
        <w:t>2.1.4 Relevance to AI-FireGuard</w:t>
      </w:r>
    </w:p>
    <w:p>
      <w:pPr>
        <w:pStyle w:val="Normal"/>
      </w:pPr>
      <w:r>
        <w:t xml:space="preserve">This study confirms the central role of thermal infrared data in UAV-based fire detection, directly motivating the thermal-channel-first approach of AI-FireGuard. The two-tier architecture concept (coarse classification followed by fine localization) is conceptually aligned with our autoencoder anomaly scoring followed by YOLO detection pipeline.</w:t>
      </w:r>
    </w:p>
    <w:p>
      <w:pPr>
        <w:pStyle w:val="Heading2"/>
      </w:pPr>
      <w:r>
        <w:t>2.2 AEFRN — Optimal Feature-Assisted Multi-Attention Fusion for Robust Fire Recognition (2025)</w:t>
      </w:r>
    </w:p>
    <w:p>
      <w:pPr>
        <w:pStyle w:val="Heading3"/>
      </w:pPr>
      <w:r>
        <w:t>2.2.1 Overview</w:t>
      </w:r>
    </w:p>
    <w:p>
      <w:pPr>
        <w:pStyle w:val="Normal"/>
      </w:pPr>
      <w:r>
        <w:t xml:space="preserve">Published in Scientific Reports (Nature), this study introduces the Attention-Enhanced Fire Recognition Network (AEFRN), a deep neural network targeting fire recognition under adverse visual conditions including low illumination, dense smoke, and fog. The network integrates three complementary attention mechanisms to achieve state-of-the-art accuracy while maintaining computational efficiency.</w:t>
      </w:r>
    </w:p>
    <w:p>
      <w:pPr>
        <w:pStyle w:val="Heading3"/>
      </w:pPr>
      <w:r>
        <w:t>2.2.2 Architecture and Methodology</w:t>
      </w:r>
    </w:p>
    <w:p>
      <w:pPr>
        <w:pStyle w:val="Normal"/>
      </w:pPr>
      <w:r>
        <w:t xml:space="preserve">AEFRN combines three novel attention modules: (1) Convolutional Self-Attention (CSA), which fuses global self-attention with dynamic convolution kernels; (2) Recursive Atrous Self-Attention (RASA), which captures multi-scale contextual information with minimal additional parameters; and (3) an Enhanced Convolutional Block Attention Module (CBAM) with improved channel and spatial attention for stronger feature discrimination.</w:t>
      </w:r>
    </w:p>
    <w:p>
      <w:pPr>
        <w:pStyle w:val="Heading3"/>
      </w:pPr>
      <w:r>
        <w:t>2.2.3 Key Results</w:t>
      </w:r>
    </w:p>
    <w:tbl>
      <w:tblPr>
        <w:tblW w:w="5000" w:type="pct"/>
        <w:tblBorders>
          <w:top w:val="single" w:color="1a365d" w:sz="12"/>
          <w:left w:val="nil"/>
          <w:bottom w:val="single" w:color="1a365d" w:sz="12"/>
          <w:right w:val="nil"/>
          <w:insideH w:val="single" w:color="e2e8f0" w:sz="4"/>
          <w:insideV w:val="nil"/>
        </w:tblBorders>
      </w:tblPr>
      <w:tblGrid>
        <w:gridCol w:w="4500"/>
        <w:gridCol w:w="4500"/>
      </w:tblGrid>
      <w:tr>
        <w:trPr>
          <w:tblHeader/>
        </w:trPr>
        <w:tc>
          <w:tcPr>
            <w:tcW w:w="4500" w:type="dxa"/>
            <w:shd w:val="clear" w:fill="edf2f7"/>
            <w:vAlign w:val="center"/>
          </w:tcPr>
          <w:p>
            <w:pPr>
              <w:spacing w:before="60" w:after="60"/>
              <w:jc w:val="center"/>
            </w:pPr>
            <w:r>
              <w:rPr>
                <w:b/>
                <w:color w:val="1a202c"/>
                <w:sz w:val="20"/>
              </w:rPr>
              <w:t>Dataset</w:t>
            </w:r>
          </w:p>
        </w:tc>
        <w:tc>
          <w:tcPr>
            <w:tcW w:w="4500" w:type="dxa"/>
            <w:shd w:val="clear" w:fill="edf2f7"/>
            <w:vAlign w:val="center"/>
          </w:tcPr>
          <w:p>
            <w:pPr>
              <w:spacing w:before="60" w:after="60"/>
              <w:jc w:val="center"/>
            </w:pPr>
            <w:r>
              <w:rPr>
                <w:b/>
                <w:color w:val="1a202c"/>
                <w:sz w:val="20"/>
              </w:rPr>
              <w:t>Accuracy</w:t>
            </w:r>
          </w:p>
        </w:tc>
      </w:tr>
      <w:tr>
        <w:tc>
          <w:tcPr>
            <w:tcW w:w="4500" w:type="dxa"/>
            <w:vAlign w:val="center"/>
          </w:tcPr>
          <w:p>
            <w:pPr>
              <w:spacing w:before="40" w:after="40"/>
              <w:jc w:val="center"/>
            </w:pPr>
            <w:r>
              <w:rPr>
                <w:color w:val="4a5568"/>
                <w:sz w:val="20"/>
              </w:rPr>
              <w:t xml:space="preserve">FD (Fire Dataset)</w:t>
            </w:r>
          </w:p>
        </w:tc>
        <w:tc>
          <w:tcPr>
            <w:tcW w:w="4500" w:type="dxa"/>
            <w:vAlign w:val="center"/>
          </w:tcPr>
          <w:p>
            <w:pPr>
              <w:spacing w:before="40" w:after="40"/>
              <w:jc w:val="center"/>
            </w:pPr>
            <w:r>
              <w:rPr>
                <w:color w:val="4a5568"/>
                <w:sz w:val="20"/>
              </w:rPr>
              <w:t xml:space="preserve">99.11%</w:t>
            </w:r>
          </w:p>
        </w:tc>
      </w:tr>
      <w:tr>
        <w:tc>
          <w:tcPr>
            <w:tcW w:w="4500" w:type="dxa"/>
            <w:vAlign w:val="center"/>
          </w:tcPr>
          <w:p>
            <w:pPr>
              <w:spacing w:before="40" w:after="40"/>
              <w:jc w:val="center"/>
            </w:pPr>
            <w:r>
              <w:rPr>
                <w:color w:val="4a5568"/>
                <w:sz w:val="20"/>
              </w:rPr>
              <w:t xml:space="preserve">BoWFire</w:t>
            </w:r>
          </w:p>
        </w:tc>
        <w:tc>
          <w:tcPr>
            <w:tcW w:w="4500" w:type="dxa"/>
            <w:vAlign w:val="center"/>
          </w:tcPr>
          <w:p>
            <w:pPr>
              <w:spacing w:before="40" w:after="40"/>
              <w:jc w:val="center"/>
            </w:pPr>
            <w:r>
              <w:rPr>
                <w:color w:val="4a5568"/>
                <w:sz w:val="20"/>
              </w:rPr>
              <w:t xml:space="preserve">97.98%</w:t>
            </w:r>
          </w:p>
        </w:tc>
      </w:tr>
    </w:tbl>
    <w:p>
      <w:pPr>
        <w:pStyle w:val="Normal"/>
      </w:pPr>
      <w:r>
        <w:t xml:space="preserve">AEFRN outperformed all 12 competing state-of-the-art methods on both benchmark datasets.</w:t>
      </w:r>
    </w:p>
    <w:p>
      <w:pPr>
        <w:pStyle w:val="Heading2"/>
      </w:pPr>
      <w:r>
        <w:t>2.3 FireVision — Efficient Fire Detection Platform with Automated Drone Flights (2026)</w:t>
      </w:r>
    </w:p>
    <w:p>
      <w:pPr>
        <w:pStyle w:val="Heading3"/>
      </w:pPr>
      <w:r>
        <w:t>2.3.1 Overview</w:t>
      </w:r>
    </w:p>
    <w:p>
      <w:pPr>
        <w:pStyle w:val="Normal"/>
      </w:pPr>
      <w:r>
        <w:t xml:space="preserve">Published in Algorithms (MDPI), FireVision presents an integrated UAV-based fire detection and monitoring platform that combines automated drone flight planning with ensemble deep learning models. The platform targets both urban and forest environments and features a novel Fire Criticality Index (FCI) and adaptive spiral path-planning algorithm.</w:t>
      </w:r>
    </w:p>
    <w:p>
      <w:pPr>
        <w:pStyle w:val="Heading3"/>
      </w:pPr>
      <w:r>
        <w:t>2.3.2 Methodology</w:t>
      </w:r>
    </w:p>
    <w:p>
      <w:pPr>
        <w:pStyle w:val="Normal"/>
      </w:pPr>
      <w:r>
        <w:t xml:space="preserve">FireVision employs Mask R-CNN with three backbone architectures (ResNet-50, ResNet-101, ResNet-152) equipped with Feature Pyramid Networks (FPN). Two independent models are trained for smoke and fire detection respectively, and their outputs are combined in an ensemble configuration.</w:t>
      </w:r>
    </w:p>
    <w:p>
      <w:pPr>
        <w:pStyle w:val="Heading3"/>
      </w:pPr>
      <w:r>
        <w:t>2.3.3 Key Results</w:t>
      </w:r>
    </w:p>
    <w:tbl>
      <w:tblPr>
        <w:tblW w:w="5000" w:type="pct"/>
        <w:tblBorders>
          <w:top w:val="single" w:color="1a365d" w:sz="12"/>
          <w:left w:val="nil"/>
          <w:bottom w:val="single" w:color="1a365d" w:sz="12"/>
          <w:right w:val="nil"/>
          <w:insideH w:val="single" w:color="e2e8f0" w:sz="4"/>
          <w:insideV w:val="nil"/>
        </w:tblBorders>
      </w:tblPr>
      <w:tblGrid>
        <w:gridCol w:w="2250"/>
        <w:gridCol w:w="2250"/>
        <w:gridCol w:w="2250"/>
        <w:gridCol w:w="2250"/>
      </w:tblGrid>
      <w:tr>
        <w:trPr>
          <w:tblHeader/>
        </w:trPr>
        <w:tc>
          <w:tcPr>
            <w:tcW w:w="2250" w:type="dxa"/>
            <w:shd w:val="clear" w:fill="edf2f7"/>
            <w:vAlign w:val="center"/>
          </w:tcPr>
          <w:p>
            <w:pPr>
              <w:spacing w:before="60" w:after="60"/>
              <w:jc w:val="center"/>
            </w:pPr>
            <w:r>
              <w:rPr>
                <w:b/>
                <w:color w:val="1a202c"/>
                <w:sz w:val="20"/>
              </w:rPr>
              <w:t>Backbone</w:t>
            </w:r>
          </w:p>
        </w:tc>
        <w:tc>
          <w:tcPr>
            <w:tcW w:w="2250" w:type="dxa"/>
            <w:shd w:val="clear" w:fill="edf2f7"/>
            <w:vAlign w:val="center"/>
          </w:tcPr>
          <w:p>
            <w:pPr>
              <w:spacing w:before="60" w:after="60"/>
              <w:jc w:val="center"/>
            </w:pPr>
            <w:r>
              <w:rPr>
                <w:b/>
                <w:color w:val="1a202c"/>
                <w:sz w:val="20"/>
              </w:rPr>
              <w:t>Smoke Mask mAP@0.5</w:t>
            </w:r>
          </w:p>
        </w:tc>
        <w:tc>
          <w:tcPr>
            <w:tcW w:w="2250" w:type="dxa"/>
            <w:shd w:val="clear" w:fill="edf2f7"/>
            <w:vAlign w:val="center"/>
          </w:tcPr>
          <w:p>
            <w:pPr>
              <w:spacing w:before="60" w:after="60"/>
              <w:jc w:val="center"/>
            </w:pPr>
            <w:r>
              <w:rPr>
                <w:b/>
                <w:color w:val="1a202c"/>
                <w:sz w:val="20"/>
              </w:rPr>
              <w:t>Fire Mask mAP@0.5</w:t>
            </w:r>
          </w:p>
        </w:tc>
        <w:tc>
          <w:tcPr>
            <w:tcW w:w="2250" w:type="dxa"/>
            <w:shd w:val="clear" w:fill="edf2f7"/>
            <w:vAlign w:val="center"/>
          </w:tcPr>
          <w:p>
            <w:pPr>
              <w:spacing w:before="60" w:after="60"/>
              <w:jc w:val="center"/>
            </w:pPr>
            <w:r>
              <w:rPr>
                <w:b/>
                <w:color w:val="1a202c"/>
                <w:sz w:val="20"/>
              </w:rPr>
              <w:t>Edge FPS (Jetson Nano)</w:t>
            </w:r>
          </w:p>
        </w:tc>
      </w:tr>
      <w:tr>
        <w:tc>
          <w:tcPr>
            <w:tcW w:w="2250" w:type="dxa"/>
            <w:vAlign w:val="center"/>
          </w:tcPr>
          <w:p>
            <w:pPr>
              <w:spacing w:before="40" w:after="40"/>
              <w:jc w:val="center"/>
            </w:pPr>
            <w:r>
              <w:rPr>
                <w:color w:val="4a5568"/>
                <w:sz w:val="20"/>
              </w:rPr>
              <w:t xml:space="preserve">ResNet-50</w:t>
            </w:r>
          </w:p>
        </w:tc>
        <w:tc>
          <w:tcPr>
            <w:tcW w:w="2250" w:type="dxa"/>
            <w:vAlign w:val="center"/>
          </w:tcPr>
          <w:p>
            <w:pPr>
              <w:spacing w:before="40" w:after="40"/>
              <w:jc w:val="center"/>
            </w:pPr>
            <w:r>
              <w:rPr>
                <w:color w:val="4a5568"/>
                <w:sz w:val="20"/>
              </w:rPr>
              <w:t xml:space="preserve">0.574</w:t>
            </w:r>
          </w:p>
        </w:tc>
        <w:tc>
          <w:tcPr>
            <w:tcW w:w="2250" w:type="dxa"/>
            <w:vAlign w:val="center"/>
          </w:tcPr>
          <w:p>
            <w:pPr>
              <w:spacing w:before="40" w:after="40"/>
              <w:jc w:val="center"/>
            </w:pPr>
            <w:r>
              <w:rPr>
                <w:color w:val="4a5568"/>
                <w:sz w:val="20"/>
              </w:rPr>
              <w:t xml:space="preserve">0.409</w:t>
            </w:r>
          </w:p>
        </w:tc>
        <w:tc>
          <w:tcPr>
            <w:tcW w:w="2250" w:type="dxa"/>
            <w:vAlign w:val="center"/>
          </w:tcPr>
          <w:p>
            <w:pPr>
              <w:spacing w:before="40" w:after="40"/>
              <w:jc w:val="center"/>
            </w:pPr>
            <w:r>
              <w:rPr>
                <w:color w:val="4a5568"/>
                <w:sz w:val="20"/>
              </w:rPr>
              <w:t xml:space="preserve">0.014</w:t>
            </w:r>
          </w:p>
        </w:tc>
      </w:tr>
      <w:tr>
        <w:tc>
          <w:tcPr>
            <w:tcW w:w="2250" w:type="dxa"/>
            <w:vAlign w:val="center"/>
          </w:tcPr>
          <w:p>
            <w:pPr>
              <w:spacing w:before="40" w:after="40"/>
              <w:jc w:val="center"/>
            </w:pPr>
            <w:r>
              <w:rPr>
                <w:color w:val="4a5568"/>
                <w:sz w:val="20"/>
              </w:rPr>
              <w:t xml:space="preserve">ResNet-101</w:t>
            </w:r>
          </w:p>
        </w:tc>
        <w:tc>
          <w:tcPr>
            <w:tcW w:w="2250" w:type="dxa"/>
            <w:vAlign w:val="center"/>
          </w:tcPr>
          <w:p>
            <w:pPr>
              <w:spacing w:before="40" w:after="40"/>
              <w:jc w:val="center"/>
            </w:pPr>
            <w:r>
              <w:rPr>
                <w:color w:val="4a5568"/>
                <w:sz w:val="20"/>
              </w:rPr>
              <w:t xml:space="preserve">0.646</w:t>
            </w:r>
          </w:p>
        </w:tc>
        <w:tc>
          <w:tcPr>
            <w:tcW w:w="2250" w:type="dxa"/>
            <w:vAlign w:val="center"/>
          </w:tcPr>
          <w:p>
            <w:pPr>
              <w:spacing w:before="40" w:after="40"/>
              <w:jc w:val="center"/>
            </w:pPr>
            <w:r>
              <w:rPr>
                <w:color w:val="4a5568"/>
                <w:sz w:val="20"/>
              </w:rPr>
              <w:t xml:space="preserve">0.430</w:t>
            </w:r>
          </w:p>
        </w:tc>
        <w:tc>
          <w:tcPr>
            <w:tcW w:w="2250" w:type="dxa"/>
            <w:vAlign w:val="center"/>
          </w:tcPr>
          <w:p>
            <w:pPr>
              <w:spacing w:before="40" w:after="40"/>
              <w:jc w:val="center"/>
            </w:pPr>
            <w:r>
              <w:rPr>
                <w:color w:val="4a5568"/>
                <w:sz w:val="20"/>
              </w:rPr>
              <w:t xml:space="preserve">0.011</w:t>
            </w:r>
          </w:p>
        </w:tc>
      </w:tr>
      <w:tr>
        <w:tc>
          <w:tcPr>
            <w:tcW w:w="2250" w:type="dxa"/>
            <w:vAlign w:val="center"/>
          </w:tcPr>
          <w:p>
            <w:pPr>
              <w:spacing w:before="40" w:after="40"/>
              <w:jc w:val="center"/>
            </w:pPr>
            <w:r>
              <w:rPr>
                <w:color w:val="4a5568"/>
                <w:sz w:val="20"/>
              </w:rPr>
              <w:t xml:space="preserve">ResNet-152</w:t>
            </w:r>
          </w:p>
        </w:tc>
        <w:tc>
          <w:tcPr>
            <w:tcW w:w="2250" w:type="dxa"/>
            <w:vAlign w:val="center"/>
          </w:tcPr>
          <w:p>
            <w:pPr>
              <w:spacing w:before="40" w:after="40"/>
              <w:jc w:val="center"/>
            </w:pPr>
            <w:r>
              <w:rPr>
                <w:color w:val="4a5568"/>
                <w:sz w:val="20"/>
              </w:rPr>
              <w:t xml:space="preserve">0.649</w:t>
            </w:r>
          </w:p>
        </w:tc>
        <w:tc>
          <w:tcPr>
            <w:tcW w:w="2250" w:type="dxa"/>
            <w:vAlign w:val="center"/>
          </w:tcPr>
          <w:p>
            <w:pPr>
              <w:spacing w:before="40" w:after="40"/>
              <w:jc w:val="center"/>
            </w:pPr>
            <w:r>
              <w:rPr>
                <w:color w:val="4a5568"/>
                <w:sz w:val="20"/>
              </w:rPr>
              <w:t xml:space="preserve">0.435</w:t>
            </w:r>
          </w:p>
        </w:tc>
        <w:tc>
          <w:tcPr>
            <w:tcW w:w="2250" w:type="dxa"/>
            <w:vAlign w:val="center"/>
          </w:tcPr>
          <w:p>
            <w:pPr>
              <w:spacing w:before="40" w:after="40"/>
              <w:jc w:val="center"/>
            </w:pPr>
            <w:r>
              <w:rPr>
                <w:color w:val="4a5568"/>
                <w:sz w:val="20"/>
              </w:rPr>
              <w:t xml:space="preserve">0.008</w:t>
            </w:r>
          </w:p>
        </w:tc>
      </w:tr>
    </w:tbl>
    <w:p>
      <w:pPr>
        <w:pStyle w:val="Heading2"/>
      </w:pPr>
      <w:r>
        <w:t>2.4 DetectiumFire — Comprehensive Multi-modal Dataset Bridging Vision and Language (2025)</w:t>
      </w:r>
    </w:p>
    <w:p>
      <w:pPr>
        <w:pStyle w:val="Heading3"/>
      </w:pPr>
      <w:r>
        <w:t>2.4.1 Overview</w:t>
      </w:r>
    </w:p>
    <w:p>
      <w:pPr>
        <w:pStyle w:val="Normal"/>
      </w:pPr>
      <w:r>
        <w:t xml:space="preserve">This paper introduces DetectiumFire, the first large-scale multi-modal dataset specifically designed for comprehensive fire understanding. The dataset is intended to support not only classical object detection and segmentation, but also advanced tasks including synthetic image generation via diffusion models and vision-language reasoning using large VLMs.</w:t>
      </w:r>
    </w:p>
    <w:p>
      <w:pPr>
        <w:pStyle w:val="Heading3"/>
      </w:pPr>
      <w:r>
        <w:t>2.4.2 Dataset Characteristics</w:t>
      </w:r>
    </w:p>
    <w:p>
      <w:pPr>
        <w:pStyle w:val="Normal"/>
      </w:pPr>
      <w:r>
        <w:t xml:space="preserve">DetectiumFire contains more than 22,500 high-resolution real images and 2,500 real fire videos, complemented by 8,000 high-quality synthetic fire images generated using fine-tuned Stable Diffusion models. All real images are manually annotated with bounding boxes and detailed descriptive captions.</w:t>
      </w:r>
    </w:p>
    <w:p>
      <w:pPr>
        <w:pStyle w:val="Heading2"/>
      </w:pPr>
      <w:r>
        <w:t>2.5 LP-YOLO — Enhanced Smoke and Fire Detection via Self-Attention and Feature Pyramid Integration (2026)</w:t>
      </w:r>
    </w:p>
    <w:p>
      <w:pPr>
        <w:pStyle w:val="Heading3"/>
      </w:pPr>
      <w:r>
        <w:t>2.5.1 Overview</w:t>
      </w:r>
    </w:p>
    <w:p>
      <w:pPr>
        <w:pStyle w:val="Normal"/>
      </w:pPr>
      <w:r>
        <w:t xml:space="preserve">Published in ScienceDirect, LP-YOLO (Lightweight and Precise YOLO) is an improved smoke and fire detection model based on YOLOv8 architecture. The model addresses the limitations of conventional convolutional detectors in complex environments through three principal innovations: Wavelet Convolutions (WTConv), Bidirectional Feature Pyramid Networks (BiFPN), and a Frequency-aware Feature Fusion (FreqFusion) module.</w:t>
      </w:r>
    </w:p>
    <w:p>
      <w:pPr>
        <w:pStyle w:val="Heading3"/>
      </w:pPr>
      <w:r>
        <w:t>2.5.2 Key Results</w:t>
      </w:r>
    </w:p>
    <w:tbl>
      <w:tblPr>
        <w:tblW w:w="5000" w:type="pct"/>
        <w:tblBorders>
          <w:top w:val="single" w:color="1a365d" w:sz="12"/>
          <w:left w:val="nil"/>
          <w:bottom w:val="single" w:color="1a365d" w:sz="12"/>
          <w:right w:val="nil"/>
          <w:insideH w:val="single" w:color="e2e8f0" w:sz="4"/>
          <w:insideV w:val="nil"/>
        </w:tblBorders>
      </w:tblPr>
      <w:tblGrid>
        <w:gridCol w:w="4500"/>
        <w:gridCol w:w="4500"/>
      </w:tblGrid>
      <w:tr>
        <w:trPr>
          <w:tblHeader/>
        </w:trPr>
        <w:tc>
          <w:tcPr>
            <w:tcW w:w="4500" w:type="dxa"/>
            <w:shd w:val="clear" w:fill="edf2f7"/>
            <w:vAlign w:val="center"/>
          </w:tcPr>
          <w:p>
            <w:pPr>
              <w:spacing w:before="60" w:after="60"/>
              <w:jc w:val="center"/>
            </w:pPr>
            <w:r>
              <w:rPr>
                <w:b/>
                <w:color w:val="1a202c"/>
                <w:sz w:val="20"/>
              </w:rPr>
              <w:t>Metric</w:t>
            </w:r>
          </w:p>
        </w:tc>
        <w:tc>
          <w:tcPr>
            <w:tcW w:w="4500" w:type="dxa"/>
            <w:shd w:val="clear" w:fill="edf2f7"/>
            <w:vAlign w:val="center"/>
          </w:tcPr>
          <w:p>
            <w:pPr>
              <w:spacing w:before="60" w:after="60"/>
              <w:jc w:val="center"/>
            </w:pPr>
            <w:r>
              <w:rPr>
                <w:b/>
                <w:color w:val="1a202c"/>
                <w:sz w:val="20"/>
              </w:rPr>
              <w:t>LP-YOLO vs. YOLOv8 Baseline</w:t>
            </w:r>
          </w:p>
        </w:tc>
      </w:tr>
      <w:tr>
        <w:tc>
          <w:tcPr>
            <w:tcW w:w="4500" w:type="dxa"/>
            <w:vAlign w:val="center"/>
          </w:tcPr>
          <w:p>
            <w:pPr>
              <w:spacing w:before="40" w:after="40"/>
              <w:jc w:val="center"/>
            </w:pPr>
            <w:r>
              <w:rPr>
                <w:color w:val="4a5568"/>
                <w:sz w:val="20"/>
              </w:rPr>
              <w:t xml:space="preserve">mAP@50 improvement (D-Fire)</w:t>
            </w:r>
          </w:p>
        </w:tc>
        <w:tc>
          <w:tcPr>
            <w:tcW w:w="4500" w:type="dxa"/>
            <w:vAlign w:val="center"/>
          </w:tcPr>
          <w:p>
            <w:pPr>
              <w:spacing w:before="40" w:after="40"/>
              <w:jc w:val="center"/>
            </w:pPr>
            <w:r>
              <w:rPr>
                <w:color w:val="4a5568"/>
                <w:sz w:val="20"/>
              </w:rPr>
              <w:t xml:space="preserve">+9.3%</w:t>
            </w:r>
          </w:p>
        </w:tc>
      </w:tr>
      <w:tr>
        <w:tc>
          <w:tcPr>
            <w:tcW w:w="4500" w:type="dxa"/>
            <w:vAlign w:val="center"/>
          </w:tcPr>
          <w:p>
            <w:pPr>
              <w:spacing w:before="40" w:after="40"/>
              <w:jc w:val="center"/>
            </w:pPr>
            <w:r>
              <w:rPr>
                <w:color w:val="4a5568"/>
                <w:sz w:val="20"/>
              </w:rPr>
              <w:t xml:space="preserve">F1-score improvement</w:t>
            </w:r>
          </w:p>
        </w:tc>
        <w:tc>
          <w:tcPr>
            <w:tcW w:w="4500" w:type="dxa"/>
            <w:vAlign w:val="center"/>
          </w:tcPr>
          <w:p>
            <w:pPr>
              <w:spacing w:before="40" w:after="40"/>
              <w:jc w:val="center"/>
            </w:pPr>
            <w:r>
              <w:rPr>
                <w:color w:val="4a5568"/>
                <w:sz w:val="20"/>
              </w:rPr>
              <w:t xml:space="preserve">+9.2%</w:t>
            </w:r>
          </w:p>
        </w:tc>
      </w:tr>
      <w:tr>
        <w:tc>
          <w:tcPr>
            <w:tcW w:w="4500" w:type="dxa"/>
            <w:vAlign w:val="center"/>
          </w:tcPr>
          <w:p>
            <w:pPr>
              <w:spacing w:before="40" w:after="40"/>
              <w:jc w:val="center"/>
            </w:pPr>
            <w:r>
              <w:rPr>
                <w:color w:val="4a5568"/>
                <w:sz w:val="20"/>
              </w:rPr>
              <w:t xml:space="preserve">Inference speed</w:t>
            </w:r>
          </w:p>
        </w:tc>
        <w:tc>
          <w:tcPr>
            <w:tcW w:w="4500" w:type="dxa"/>
            <w:vAlign w:val="center"/>
          </w:tcPr>
          <w:p>
            <w:pPr>
              <w:spacing w:before="40" w:after="40"/>
              <w:jc w:val="center"/>
            </w:pPr>
            <w:r>
              <w:rPr>
                <w:color w:val="4a5568"/>
                <w:sz w:val="20"/>
              </w:rPr>
              <w:t xml:space="preserve">238 FPS</w:t>
            </w:r>
          </w:p>
        </w:tc>
      </w:tr>
      <w:tr>
        <w:tc>
          <w:tcPr>
            <w:tcW w:w="4500" w:type="dxa"/>
            <w:vAlign w:val="center"/>
          </w:tcPr>
          <w:p>
            <w:pPr>
              <w:spacing w:before="40" w:after="40"/>
              <w:jc w:val="center"/>
            </w:pPr>
            <w:r>
              <w:rPr>
                <w:color w:val="4a5568"/>
                <w:sz w:val="20"/>
              </w:rPr>
              <w:t xml:space="preserve">Model size vs. YOLOv7-tiny</w:t>
            </w:r>
          </w:p>
        </w:tc>
        <w:tc>
          <w:tcPr>
            <w:tcW w:w="4500" w:type="dxa"/>
            <w:vAlign w:val="center"/>
          </w:tcPr>
          <w:p>
            <w:pPr>
              <w:spacing w:before="40" w:after="40"/>
              <w:jc w:val="center"/>
            </w:pPr>
            <w:r>
              <w:rPr>
                <w:color w:val="4a5568"/>
                <w:sz w:val="20"/>
              </w:rPr>
              <w:t xml:space="preserve">56.6% smaller</w:t>
            </w:r>
          </w:p>
        </w:tc>
      </w:tr>
    </w:tbl>
    <w:p>
      <w:pPr>
        <w:pStyle w:val="Heading2"/>
      </w:pPr>
      <w:r>
        <w:t>2.6 FlameGuard — AI-Driven Smart Map for Early Detection of Agricultural Fires in Saudi Arabia (2025)</w:t>
      </w:r>
    </w:p>
    <w:p>
      <w:pPr>
        <w:pStyle w:val="Normal"/>
      </w:pPr>
      <w:r>
        <w:t xml:space="preserve">FlameGuard is a geospatial AI system integrating satellite data from MODIS and VIIRS with spectral algorithms and transformer-based classification models (Minos and ViRanker) for early detection of agricultural fires in arid regions of Saudi Arabia. The system achieved detection precision of 96.4%, recall of 95.7%, and a response time under one hour (compared to 3–6 hours for traditional FIRMS-based systems).</w:t>
      </w:r>
    </w:p>
    <w:p>
      <w:pPr>
        <w:pStyle w:val="Heading2"/>
      </w:pPr>
      <w:r>
        <w:t>2.7 High-Performance Fire Detection via Feature Enhancement and Multimodal Fusion (2025)</w:t>
      </w:r>
    </w:p>
    <w:p>
      <w:pPr>
        <w:pStyle w:val="Normal"/>
      </w:pPr>
      <w:r>
        <w:t xml:space="preserve">This work proposes a multimodal detection framework combining YOLOv8, HSV color features, local binary patterns (CLBP), and dual cross-modal fusion modules (DFEM and CMFM) to improve fire detection robustness in complex indoor and outdoor environments. The framework achieved precision of 99.78%, recall of 99.8%, and a false alarm rate of only 0.1%.</w:t>
      </w:r>
    </w:p>
    <w:p>
      <w:pPr>
        <w:pStyle w:val="Heading2"/>
      </w:pPr>
      <w:r>
        <w:t>2.8 FFDNet — Multilevel Fire Detection Framework (2025)</w:t>
      </w:r>
    </w:p>
    <w:p>
      <w:pPr>
        <w:pStyle w:val="Normal"/>
      </w:pPr>
      <w:r>
        <w:t xml:space="preserve">FFDNet presents a two-stage multilevel fire detection system that combines an enhanced RT-DETR detector (RT-DETRFocus) with Local Binary Patterns (CLBP) feature extraction and a VQGAN (Vector Quantized Generative Adversarial Network) for deep verification. FFDNet achieved precision of 98.23% and recall of 96.33% on the DFS dataset.</w:t>
      </w:r>
    </w:p>
    <w:p>
      <w:pPr>
        <w:pStyle w:val="Heading2"/>
      </w:pPr>
      <w:r>
        <w:t>2.9 ResCaps-TC-Attn-Fire — Residual Capsule Network for Forest Fire Detection from UAV Imagery (2025)</w:t>
      </w:r>
    </w:p>
    <w:p>
      <w:pPr>
        <w:pStyle w:val="Normal"/>
      </w:pPr>
      <w:r>
        <w:t xml:space="preserve">Published in Scientific Reports (Nature), this study introduces ResCaps-TC-Attn-Fire, a novel framework combining residual capsule networks, threshold convolution (TC) layers, and attention mechanisms for forest fire detection from UAV imagery. The system achieved detection precision of 99.78%, recall of 99.8%, and a false alarm rate of 0.1% on the test dataset.</w:t>
      </w:r>
    </w:p>
    <w:p>
      <w:pPr>
        <w:pStyle w:val="Heading2"/>
      </w:pPr>
      <w:r>
        <w:t>2.10 Reference Studies Comparative Summary</w:t>
      </w:r>
    </w:p>
    <w:tbl>
      <w:tblPr>
        <w:tblW w:w="5000" w:type="pct"/>
        <w:tblBorders>
          <w:top w:val="single" w:color="1a365d" w:sz="12"/>
          <w:left w:val="nil"/>
          <w:bottom w:val="single" w:color="1a365d" w:sz="12"/>
          <w:right w:val="nil"/>
          <w:insideH w:val="single" w:color="e2e8f0" w:sz="4"/>
          <w:insideV w:val="nil"/>
        </w:tblBorders>
      </w:tblPr>
      <w:tblGrid>
        <w:gridCol w:w="1500"/>
        <w:gridCol w:w="1500"/>
        <w:gridCol w:w="1500"/>
        <w:gridCol w:w="1500"/>
        <w:gridCol w:w="1500"/>
        <w:gridCol w:w="1500"/>
      </w:tblGrid>
      <w:tr>
        <w:trPr>
          <w:tblHeader/>
        </w:trPr>
        <w:tc>
          <w:tcPr>
            <w:tcW w:w="1500" w:type="dxa"/>
            <w:shd w:val="clear" w:fill="edf2f7"/>
            <w:vAlign w:val="center"/>
          </w:tcPr>
          <w:p>
            <w:pPr>
              <w:spacing w:before="60" w:after="60"/>
              <w:jc w:val="center"/>
            </w:pPr>
            <w:r>
              <w:rPr>
                <w:b/>
                <w:color w:val="1a202c"/>
                <w:sz w:val="20"/>
              </w:rPr>
              <w:t>Study</w:t>
            </w:r>
          </w:p>
        </w:tc>
        <w:tc>
          <w:tcPr>
            <w:tcW w:w="1500" w:type="dxa"/>
            <w:shd w:val="clear" w:fill="edf2f7"/>
            <w:vAlign w:val="center"/>
          </w:tcPr>
          <w:p>
            <w:pPr>
              <w:spacing w:before="60" w:after="60"/>
              <w:jc w:val="center"/>
            </w:pPr>
            <w:r>
              <w:rPr>
                <w:b/>
                <w:color w:val="1a202c"/>
                <w:sz w:val="20"/>
              </w:rPr>
              <w:t>Year</w:t>
            </w:r>
          </w:p>
        </w:tc>
        <w:tc>
          <w:tcPr>
            <w:tcW w:w="1500" w:type="dxa"/>
            <w:shd w:val="clear" w:fill="edf2f7"/>
            <w:vAlign w:val="center"/>
          </w:tcPr>
          <w:p>
            <w:pPr>
              <w:spacing w:before="60" w:after="60"/>
              <w:jc w:val="center"/>
            </w:pPr>
            <w:r>
              <w:rPr>
                <w:b/>
                <w:color w:val="1a202c"/>
                <w:sz w:val="20"/>
              </w:rPr>
              <w:t>Dataset</w:t>
            </w:r>
          </w:p>
        </w:tc>
        <w:tc>
          <w:tcPr>
            <w:tcW w:w="1500" w:type="dxa"/>
            <w:shd w:val="clear" w:fill="edf2f7"/>
            <w:vAlign w:val="center"/>
          </w:tcPr>
          <w:p>
            <w:pPr>
              <w:spacing w:before="60" w:after="60"/>
              <w:jc w:val="center"/>
            </w:pPr>
            <w:r>
              <w:rPr>
                <w:b/>
                <w:color w:val="1a202c"/>
                <w:sz w:val="20"/>
              </w:rPr>
              <w:t>Key Model</w:t>
            </w:r>
          </w:p>
        </w:tc>
        <w:tc>
          <w:tcPr>
            <w:tcW w:w="1500" w:type="dxa"/>
            <w:shd w:val="clear" w:fill="edf2f7"/>
            <w:vAlign w:val="center"/>
          </w:tcPr>
          <w:p>
            <w:pPr>
              <w:spacing w:before="60" w:after="60"/>
              <w:jc w:val="center"/>
            </w:pPr>
            <w:r>
              <w:rPr>
                <w:b/>
                <w:color w:val="1a202c"/>
                <w:sz w:val="20"/>
              </w:rPr>
              <w:t>mAP / Accuracy</w:t>
            </w:r>
          </w:p>
        </w:tc>
        <w:tc>
          <w:tcPr>
            <w:tcW w:w="1500" w:type="dxa"/>
            <w:shd w:val="clear" w:fill="edf2f7"/>
            <w:vAlign w:val="center"/>
          </w:tcPr>
          <w:p>
            <w:pPr>
              <w:spacing w:before="60" w:after="60"/>
              <w:jc w:val="center"/>
            </w:pPr>
            <w:r>
              <w:rPr>
                <w:b/>
                <w:color w:val="1a202c"/>
                <w:sz w:val="20"/>
              </w:rPr>
              <w:t>Relevant Contribution</w:t>
            </w:r>
          </w:p>
        </w:tc>
      </w:tr>
      <w:tr>
        <w:tc>
          <w:tcPr>
            <w:tcW w:w="1500" w:type="dxa"/>
            <w:vAlign w:val="center"/>
          </w:tcPr>
          <w:p>
            <w:pPr>
              <w:spacing w:before="40" w:after="40"/>
              <w:jc w:val="center"/>
            </w:pPr>
            <w:r>
              <w:rPr>
                <w:color w:val="4a5568"/>
                <w:sz w:val="20"/>
              </w:rPr>
              <w:t xml:space="preserve">NASA AMS Wildfire</w:t>
            </w:r>
          </w:p>
        </w:tc>
        <w:tc>
          <w:tcPr>
            <w:tcW w:w="1500" w:type="dxa"/>
            <w:vAlign w:val="center"/>
          </w:tcPr>
          <w:p>
            <w:pPr>
              <w:spacing w:before="40" w:after="40"/>
              <w:jc w:val="center"/>
            </w:pPr>
            <w:r>
              <w:rPr>
                <w:color w:val="4a5568"/>
                <w:sz w:val="20"/>
              </w:rPr>
              <w:t xml:space="preserve">2026</w:t>
            </w:r>
          </w:p>
        </w:tc>
        <w:tc>
          <w:tcPr>
            <w:tcW w:w="1500" w:type="dxa"/>
            <w:vAlign w:val="center"/>
          </w:tcPr>
          <w:p>
            <w:pPr>
              <w:spacing w:before="40" w:after="40"/>
              <w:jc w:val="center"/>
            </w:pPr>
            <w:r>
              <w:rPr>
                <w:color w:val="4a5568"/>
                <w:sz w:val="20"/>
              </w:rPr>
              <w:t xml:space="preserve">NASA AMS (18 missions)</w:t>
            </w:r>
          </w:p>
        </w:tc>
        <w:tc>
          <w:tcPr>
            <w:tcW w:w="1500" w:type="dxa"/>
            <w:vAlign w:val="center"/>
          </w:tcPr>
          <w:p>
            <w:pPr>
              <w:spacing w:before="40" w:after="40"/>
              <w:jc w:val="center"/>
            </w:pPr>
            <w:r>
              <w:rPr>
                <w:color w:val="4a5568"/>
                <w:sz w:val="20"/>
              </w:rPr>
              <w:t xml:space="preserve">U-Net Encoder + Seg.</w:t>
            </w:r>
          </w:p>
        </w:tc>
        <w:tc>
          <w:tcPr>
            <w:tcW w:w="1500" w:type="dxa"/>
            <w:vAlign w:val="center"/>
          </w:tcPr>
          <w:p>
            <w:pPr>
              <w:spacing w:before="40" w:after="40"/>
              <w:jc w:val="center"/>
            </w:pPr>
            <w:r>
              <w:rPr>
                <w:color w:val="4a5568"/>
                <w:sz w:val="20"/>
              </w:rPr>
              <w:t xml:space="preserve">IoU 74.0% (seg.)</w:t>
            </w:r>
          </w:p>
        </w:tc>
        <w:tc>
          <w:tcPr>
            <w:tcW w:w="1500" w:type="dxa"/>
            <w:vAlign w:val="center"/>
          </w:tcPr>
          <w:p>
            <w:pPr>
              <w:spacing w:before="40" w:after="40"/>
              <w:jc w:val="center"/>
            </w:pPr>
            <w:r>
              <w:rPr>
                <w:color w:val="4a5568"/>
                <w:sz w:val="20"/>
              </w:rPr>
              <w:t xml:space="preserve">Multi-spectral thermal detection</w:t>
            </w:r>
          </w:p>
        </w:tc>
      </w:tr>
      <w:tr>
        <w:tc>
          <w:tcPr>
            <w:tcW w:w="1500" w:type="dxa"/>
            <w:vAlign w:val="center"/>
          </w:tcPr>
          <w:p>
            <w:pPr>
              <w:spacing w:before="40" w:after="40"/>
              <w:jc w:val="center"/>
            </w:pPr>
            <w:r>
              <w:rPr>
                <w:color w:val="4a5568"/>
                <w:sz w:val="20"/>
              </w:rPr>
              <w:t xml:space="preserve">AEFRN</w:t>
            </w:r>
          </w:p>
        </w:tc>
        <w:tc>
          <w:tcPr>
            <w:tcW w:w="1500" w:type="dxa"/>
            <w:vAlign w:val="center"/>
          </w:tcPr>
          <w:p>
            <w:pPr>
              <w:spacing w:before="40" w:after="40"/>
              <w:jc w:val="center"/>
            </w:pPr>
            <w:r>
              <w:rPr>
                <w:color w:val="4a5568"/>
                <w:sz w:val="20"/>
              </w:rPr>
              <w:t xml:space="preserve">2025</w:t>
            </w:r>
          </w:p>
        </w:tc>
        <w:tc>
          <w:tcPr>
            <w:tcW w:w="1500" w:type="dxa"/>
            <w:vAlign w:val="center"/>
          </w:tcPr>
          <w:p>
            <w:pPr>
              <w:spacing w:before="40" w:after="40"/>
              <w:jc w:val="center"/>
            </w:pPr>
            <w:r>
              <w:rPr>
                <w:color w:val="4a5568"/>
                <w:sz w:val="20"/>
              </w:rPr>
              <w:t xml:space="preserve">FD, BoWFire</w:t>
            </w:r>
          </w:p>
        </w:tc>
        <w:tc>
          <w:tcPr>
            <w:tcW w:w="1500" w:type="dxa"/>
            <w:vAlign w:val="center"/>
          </w:tcPr>
          <w:p>
            <w:pPr>
              <w:spacing w:before="40" w:after="40"/>
              <w:jc w:val="center"/>
            </w:pPr>
            <w:r>
              <w:rPr>
                <w:color w:val="4a5568"/>
                <w:sz w:val="20"/>
              </w:rPr>
              <w:t xml:space="preserve">AEFRN (CSA+RASA+CBAM)</w:t>
            </w:r>
          </w:p>
        </w:tc>
        <w:tc>
          <w:tcPr>
            <w:tcW w:w="1500" w:type="dxa"/>
            <w:vAlign w:val="center"/>
          </w:tcPr>
          <w:p>
            <w:pPr>
              <w:spacing w:before="40" w:after="40"/>
              <w:jc w:val="center"/>
            </w:pPr>
            <w:r>
              <w:rPr>
                <w:color w:val="4a5568"/>
                <w:sz w:val="20"/>
              </w:rPr>
              <w:t xml:space="preserve">99.11% / 97.98% Acc.</w:t>
            </w:r>
          </w:p>
        </w:tc>
        <w:tc>
          <w:tcPr>
            <w:tcW w:w="1500" w:type="dxa"/>
            <w:vAlign w:val="center"/>
          </w:tcPr>
          <w:p>
            <w:pPr>
              <w:spacing w:before="40" w:after="40"/>
              <w:jc w:val="center"/>
            </w:pPr>
            <w:r>
              <w:rPr>
                <w:color w:val="4a5568"/>
                <w:sz w:val="20"/>
              </w:rPr>
              <w:t xml:space="preserve">Multi-attention adverse conditions</w:t>
            </w:r>
          </w:p>
        </w:tc>
      </w:tr>
      <w:tr>
        <w:tc>
          <w:tcPr>
            <w:tcW w:w="1500" w:type="dxa"/>
            <w:vAlign w:val="center"/>
          </w:tcPr>
          <w:p>
            <w:pPr>
              <w:spacing w:before="40" w:after="40"/>
              <w:jc w:val="center"/>
            </w:pPr>
            <w:r>
              <w:rPr>
                <w:color w:val="4a5568"/>
                <w:sz w:val="20"/>
              </w:rPr>
              <w:t xml:space="preserve">FireVision</w:t>
            </w:r>
          </w:p>
        </w:tc>
        <w:tc>
          <w:tcPr>
            <w:tcW w:w="1500" w:type="dxa"/>
            <w:vAlign w:val="center"/>
          </w:tcPr>
          <w:p>
            <w:pPr>
              <w:spacing w:before="40" w:after="40"/>
              <w:jc w:val="center"/>
            </w:pPr>
            <w:r>
              <w:rPr>
                <w:color w:val="4a5568"/>
                <w:sz w:val="20"/>
              </w:rPr>
              <w:t xml:space="preserve">2026</w:t>
            </w:r>
          </w:p>
        </w:tc>
        <w:tc>
          <w:tcPr>
            <w:tcW w:w="1500" w:type="dxa"/>
            <w:vAlign w:val="center"/>
          </w:tcPr>
          <w:p>
            <w:pPr>
              <w:spacing w:before="40" w:after="40"/>
              <w:jc w:val="center"/>
            </w:pPr>
            <w:r>
              <w:rPr>
                <w:color w:val="4a5568"/>
                <w:sz w:val="20"/>
              </w:rPr>
              <w:t xml:space="preserve">12,000 images</w:t>
            </w:r>
          </w:p>
        </w:tc>
        <w:tc>
          <w:tcPr>
            <w:tcW w:w="1500" w:type="dxa"/>
            <w:vAlign w:val="center"/>
          </w:tcPr>
          <w:p>
            <w:pPr>
              <w:spacing w:before="40" w:after="40"/>
              <w:jc w:val="center"/>
            </w:pPr>
            <w:r>
              <w:rPr>
                <w:color w:val="4a5568"/>
                <w:sz w:val="20"/>
              </w:rPr>
              <w:t xml:space="preserve">Mask R-CNN + ResNet-101</w:t>
            </w:r>
          </w:p>
        </w:tc>
        <w:tc>
          <w:tcPr>
            <w:tcW w:w="1500" w:type="dxa"/>
            <w:vAlign w:val="center"/>
          </w:tcPr>
          <w:p>
            <w:pPr>
              <w:spacing w:before="40" w:after="40"/>
              <w:jc w:val="center"/>
            </w:pPr>
            <w:r>
              <w:rPr>
                <w:color w:val="4a5568"/>
                <w:sz w:val="20"/>
              </w:rPr>
              <w:t xml:space="preserve">Mask mAP@0.5: 0.646</w:t>
            </w:r>
          </w:p>
        </w:tc>
        <w:tc>
          <w:tcPr>
            <w:tcW w:w="1500" w:type="dxa"/>
            <w:vAlign w:val="center"/>
          </w:tcPr>
          <w:p>
            <w:pPr>
              <w:spacing w:before="40" w:after="40"/>
              <w:jc w:val="center"/>
            </w:pPr>
            <w:r>
              <w:rPr>
                <w:color w:val="4a5568"/>
                <w:sz w:val="20"/>
              </w:rPr>
              <w:t xml:space="preserve">UAV edge deployment + FCI</w:t>
            </w:r>
          </w:p>
        </w:tc>
      </w:tr>
      <w:tr>
        <w:tc>
          <w:tcPr>
            <w:tcW w:w="1500" w:type="dxa"/>
            <w:vAlign w:val="center"/>
          </w:tcPr>
          <w:p>
            <w:pPr>
              <w:spacing w:before="40" w:after="40"/>
              <w:jc w:val="center"/>
            </w:pPr>
            <w:r>
              <w:rPr>
                <w:color w:val="4a5568"/>
                <w:sz w:val="20"/>
              </w:rPr>
              <w:t xml:space="preserve">DetectiumFire</w:t>
            </w:r>
          </w:p>
        </w:tc>
        <w:tc>
          <w:tcPr>
            <w:tcW w:w="1500" w:type="dxa"/>
            <w:vAlign w:val="center"/>
          </w:tcPr>
          <w:p>
            <w:pPr>
              <w:spacing w:before="40" w:after="40"/>
              <w:jc w:val="center"/>
            </w:pPr>
            <w:r>
              <w:rPr>
                <w:color w:val="4a5568"/>
                <w:sz w:val="20"/>
              </w:rPr>
              <w:t xml:space="preserve">2025</w:t>
            </w:r>
          </w:p>
        </w:tc>
        <w:tc>
          <w:tcPr>
            <w:tcW w:w="1500" w:type="dxa"/>
            <w:vAlign w:val="center"/>
          </w:tcPr>
          <w:p>
            <w:pPr>
              <w:spacing w:before="40" w:after="40"/>
              <w:jc w:val="center"/>
            </w:pPr>
            <w:r>
              <w:rPr>
                <w:color w:val="4a5568"/>
                <w:sz w:val="20"/>
              </w:rPr>
              <w:t xml:space="preserve">22,500+ images</w:t>
            </w:r>
          </w:p>
        </w:tc>
        <w:tc>
          <w:tcPr>
            <w:tcW w:w="1500" w:type="dxa"/>
            <w:vAlign w:val="center"/>
          </w:tcPr>
          <w:p>
            <w:pPr>
              <w:spacing w:before="40" w:after="40"/>
              <w:jc w:val="center"/>
            </w:pPr>
            <w:r>
              <w:rPr>
                <w:color w:val="4a5568"/>
                <w:sz w:val="20"/>
              </w:rPr>
              <w:t xml:space="preserve">YOLOv11 / Faster R-CNN</w:t>
            </w:r>
          </w:p>
        </w:tc>
        <w:tc>
          <w:tcPr>
            <w:tcW w:w="1500" w:type="dxa"/>
            <w:vAlign w:val="center"/>
          </w:tcPr>
          <w:p>
            <w:pPr>
              <w:spacing w:before="40" w:after="40"/>
              <w:jc w:val="center"/>
            </w:pPr>
            <w:r>
              <w:rPr>
                <w:color w:val="4a5568"/>
                <w:sz w:val="20"/>
              </w:rPr>
              <w:t xml:space="preserve">mAP@50: 80.13%</w:t>
            </w:r>
          </w:p>
        </w:tc>
        <w:tc>
          <w:tcPr>
            <w:tcW w:w="1500" w:type="dxa"/>
            <w:vAlign w:val="center"/>
          </w:tcPr>
          <w:p>
            <w:pPr>
              <w:spacing w:before="40" w:after="40"/>
              <w:jc w:val="center"/>
            </w:pPr>
            <w:r>
              <w:rPr>
                <w:color w:val="4a5568"/>
                <w:sz w:val="20"/>
              </w:rPr>
              <w:t xml:space="preserve">Multi-modal fire dataset + VLM</w:t>
            </w:r>
          </w:p>
        </w:tc>
      </w:tr>
      <w:tr>
        <w:tc>
          <w:tcPr>
            <w:tcW w:w="1500" w:type="dxa"/>
            <w:vAlign w:val="center"/>
          </w:tcPr>
          <w:p>
            <w:pPr>
              <w:spacing w:before="40" w:after="40"/>
              <w:jc w:val="center"/>
            </w:pPr>
            <w:r>
              <w:rPr>
                <w:color w:val="4a5568"/>
                <w:sz w:val="20"/>
              </w:rPr>
              <w:t xml:space="preserve">LP-YOLO</w:t>
            </w:r>
          </w:p>
        </w:tc>
        <w:tc>
          <w:tcPr>
            <w:tcW w:w="1500" w:type="dxa"/>
            <w:vAlign w:val="center"/>
          </w:tcPr>
          <w:p>
            <w:pPr>
              <w:spacing w:before="40" w:after="40"/>
              <w:jc w:val="center"/>
            </w:pPr>
            <w:r>
              <w:rPr>
                <w:color w:val="4a5568"/>
                <w:sz w:val="20"/>
              </w:rPr>
              <w:t xml:space="preserve">2026</w:t>
            </w:r>
          </w:p>
        </w:tc>
        <w:tc>
          <w:tcPr>
            <w:tcW w:w="1500" w:type="dxa"/>
            <w:vAlign w:val="center"/>
          </w:tcPr>
          <w:p>
            <w:pPr>
              <w:spacing w:before="40" w:after="40"/>
              <w:jc w:val="center"/>
            </w:pPr>
            <w:r>
              <w:rPr>
                <w:color w:val="4a5568"/>
                <w:sz w:val="20"/>
              </w:rPr>
              <w:t xml:space="preserve">D-Fire, FIRESENSE, BoWFire</w:t>
            </w:r>
          </w:p>
        </w:tc>
        <w:tc>
          <w:tcPr>
            <w:tcW w:w="1500" w:type="dxa"/>
            <w:vAlign w:val="center"/>
          </w:tcPr>
          <w:p>
            <w:pPr>
              <w:spacing w:before="40" w:after="40"/>
              <w:jc w:val="center"/>
            </w:pPr>
            <w:r>
              <w:rPr>
                <w:color w:val="4a5568"/>
                <w:sz w:val="20"/>
              </w:rPr>
              <w:t xml:space="preserve">YOLOv8 + WTConv+BiFPN</w:t>
            </w:r>
          </w:p>
        </w:tc>
        <w:tc>
          <w:tcPr>
            <w:tcW w:w="1500" w:type="dxa"/>
            <w:vAlign w:val="center"/>
          </w:tcPr>
          <w:p>
            <w:pPr>
              <w:spacing w:before="40" w:after="40"/>
              <w:jc w:val="center"/>
            </w:pPr>
            <w:r>
              <w:rPr>
                <w:color w:val="4a5568"/>
                <w:sz w:val="20"/>
              </w:rPr>
              <w:t xml:space="preserve">+9.3% mAP vs. YOLOv8</w:t>
            </w:r>
          </w:p>
        </w:tc>
        <w:tc>
          <w:tcPr>
            <w:tcW w:w="1500" w:type="dxa"/>
            <w:vAlign w:val="center"/>
          </w:tcPr>
          <w:p>
            <w:pPr>
              <w:spacing w:before="40" w:after="40"/>
              <w:jc w:val="center"/>
            </w:pPr>
            <w:r>
              <w:rPr>
                <w:color w:val="4a5568"/>
                <w:sz w:val="20"/>
              </w:rPr>
              <w:t xml:space="preserve">Lightweight real-time YOLO</w:t>
            </w:r>
          </w:p>
        </w:tc>
      </w:tr>
      <w:tr>
        <w:tc>
          <w:tcPr>
            <w:tcW w:w="1500" w:type="dxa"/>
            <w:vAlign w:val="center"/>
          </w:tcPr>
          <w:p>
            <w:pPr>
              <w:spacing w:before="40" w:after="40"/>
              <w:jc w:val="center"/>
            </w:pPr>
            <w:r>
              <w:rPr>
                <w:color w:val="4a5568"/>
                <w:sz w:val="20"/>
              </w:rPr>
              <w:t xml:space="preserve">FlameGuard</w:t>
            </w:r>
          </w:p>
        </w:tc>
        <w:tc>
          <w:tcPr>
            <w:tcW w:w="1500" w:type="dxa"/>
            <w:vAlign w:val="center"/>
          </w:tcPr>
          <w:p>
            <w:pPr>
              <w:spacing w:before="40" w:after="40"/>
              <w:jc w:val="center"/>
            </w:pPr>
            <w:r>
              <w:rPr>
                <w:color w:val="4a5568"/>
                <w:sz w:val="20"/>
              </w:rPr>
              <w:t xml:space="preserve">2025</w:t>
            </w:r>
          </w:p>
        </w:tc>
        <w:tc>
          <w:tcPr>
            <w:tcW w:w="1500" w:type="dxa"/>
            <w:vAlign w:val="center"/>
          </w:tcPr>
          <w:p>
            <w:pPr>
              <w:spacing w:before="40" w:after="40"/>
              <w:jc w:val="center"/>
            </w:pPr>
            <w:r>
              <w:rPr>
                <w:color w:val="4a5568"/>
                <w:sz w:val="20"/>
              </w:rPr>
              <w:t xml:space="preserve">MODIS/VIIRS 200K records</w:t>
            </w:r>
          </w:p>
        </w:tc>
        <w:tc>
          <w:tcPr>
            <w:tcW w:w="1500" w:type="dxa"/>
            <w:vAlign w:val="center"/>
          </w:tcPr>
          <w:p>
            <w:pPr>
              <w:spacing w:before="40" w:after="40"/>
              <w:jc w:val="center"/>
            </w:pPr>
            <w:r>
              <w:rPr>
                <w:color w:val="4a5568"/>
                <w:sz w:val="20"/>
              </w:rPr>
              <w:t xml:space="preserve">Minos/ViRanker Transformer</w:t>
            </w:r>
          </w:p>
        </w:tc>
        <w:tc>
          <w:tcPr>
            <w:tcW w:w="1500" w:type="dxa"/>
            <w:vAlign w:val="center"/>
          </w:tcPr>
          <w:p>
            <w:pPr>
              <w:spacing w:before="40" w:after="40"/>
              <w:jc w:val="center"/>
            </w:pPr>
            <w:r>
              <w:rPr>
                <w:color w:val="4a5568"/>
                <w:sz w:val="20"/>
              </w:rPr>
              <w:t xml:space="preserve">Precision 96.4%</w:t>
            </w:r>
          </w:p>
        </w:tc>
        <w:tc>
          <w:tcPr>
            <w:tcW w:w="1500" w:type="dxa"/>
            <w:vAlign w:val="center"/>
          </w:tcPr>
          <w:p>
            <w:pPr>
              <w:spacing w:before="40" w:after="40"/>
              <w:jc w:val="center"/>
            </w:pPr>
            <w:r>
              <w:rPr>
                <w:color w:val="4a5568"/>
                <w:sz w:val="20"/>
              </w:rPr>
              <w:t xml:space="preserve">Geospatial satellite fire detection</w:t>
            </w:r>
          </w:p>
        </w:tc>
      </w:tr>
      <w:tr>
        <w:tc>
          <w:tcPr>
            <w:tcW w:w="1500" w:type="dxa"/>
            <w:vAlign w:val="center"/>
          </w:tcPr>
          <w:p>
            <w:pPr>
              <w:spacing w:before="40" w:after="40"/>
              <w:jc w:val="center"/>
            </w:pPr>
            <w:r>
              <w:rPr>
                <w:color w:val="4a5568"/>
                <w:sz w:val="20"/>
              </w:rPr>
              <w:t xml:space="preserve">Multimodal Fusion</w:t>
            </w:r>
          </w:p>
        </w:tc>
        <w:tc>
          <w:tcPr>
            <w:tcW w:w="1500" w:type="dxa"/>
            <w:vAlign w:val="center"/>
          </w:tcPr>
          <w:p>
            <w:pPr>
              <w:spacing w:before="40" w:after="40"/>
              <w:jc w:val="center"/>
            </w:pPr>
            <w:r>
              <w:rPr>
                <w:color w:val="4a5568"/>
                <w:sz w:val="20"/>
              </w:rPr>
              <w:t xml:space="preserve">2025</w:t>
            </w:r>
          </w:p>
        </w:tc>
        <w:tc>
          <w:tcPr>
            <w:tcW w:w="1500" w:type="dxa"/>
            <w:vAlign w:val="center"/>
          </w:tcPr>
          <w:p>
            <w:pPr>
              <w:spacing w:before="40" w:after="40"/>
              <w:jc w:val="center"/>
            </w:pPr>
            <w:r>
              <w:rPr>
                <w:color w:val="4a5568"/>
                <w:sz w:val="20"/>
              </w:rPr>
              <w:t xml:space="preserve">Indoor/outdoor robot</w:t>
            </w:r>
          </w:p>
        </w:tc>
        <w:tc>
          <w:tcPr>
            <w:tcW w:w="1500" w:type="dxa"/>
            <w:vAlign w:val="center"/>
          </w:tcPr>
          <w:p>
            <w:pPr>
              <w:spacing w:before="40" w:after="40"/>
              <w:jc w:val="center"/>
            </w:pPr>
            <w:r>
              <w:rPr>
                <w:color w:val="4a5568"/>
                <w:sz w:val="20"/>
              </w:rPr>
              <w:t xml:space="preserve">YOLOv8+HSV+CLBP+DFEM</w:t>
            </w:r>
          </w:p>
        </w:tc>
        <w:tc>
          <w:tcPr>
            <w:tcW w:w="1500" w:type="dxa"/>
            <w:vAlign w:val="center"/>
          </w:tcPr>
          <w:p>
            <w:pPr>
              <w:spacing w:before="40" w:after="40"/>
              <w:jc w:val="center"/>
            </w:pPr>
            <w:r>
              <w:rPr>
                <w:color w:val="4a5568"/>
                <w:sz w:val="20"/>
              </w:rPr>
              <w:t xml:space="preserve">Precision 99.78%</w:t>
            </w:r>
          </w:p>
        </w:tc>
        <w:tc>
          <w:tcPr>
            <w:tcW w:w="1500" w:type="dxa"/>
            <w:vAlign w:val="center"/>
          </w:tcPr>
          <w:p>
            <w:pPr>
              <w:spacing w:before="40" w:after="40"/>
              <w:jc w:val="center"/>
            </w:pPr>
            <w:r>
              <w:rPr>
                <w:color w:val="4a5568"/>
                <w:sz w:val="20"/>
              </w:rPr>
              <w:t xml:space="preserve">Cross-modal fusion modules</w:t>
            </w:r>
          </w:p>
        </w:tc>
      </w:tr>
      <w:tr>
        <w:tc>
          <w:tcPr>
            <w:tcW w:w="1500" w:type="dxa"/>
            <w:vAlign w:val="center"/>
          </w:tcPr>
          <w:p>
            <w:pPr>
              <w:spacing w:before="40" w:after="40"/>
              <w:jc w:val="center"/>
            </w:pPr>
            <w:r>
              <w:rPr>
                <w:color w:val="4a5568"/>
                <w:sz w:val="20"/>
              </w:rPr>
              <w:t xml:space="preserve">FFDNet</w:t>
            </w:r>
          </w:p>
        </w:tc>
        <w:tc>
          <w:tcPr>
            <w:tcW w:w="1500" w:type="dxa"/>
            <w:vAlign w:val="center"/>
          </w:tcPr>
          <w:p>
            <w:pPr>
              <w:spacing w:before="40" w:after="40"/>
              <w:jc w:val="center"/>
            </w:pPr>
            <w:r>
              <w:rPr>
                <w:color w:val="4a5568"/>
                <w:sz w:val="20"/>
              </w:rPr>
              <w:t xml:space="preserve">2025</w:t>
            </w:r>
          </w:p>
        </w:tc>
        <w:tc>
          <w:tcPr>
            <w:tcW w:w="1500" w:type="dxa"/>
            <w:vAlign w:val="center"/>
          </w:tcPr>
          <w:p>
            <w:pPr>
              <w:spacing w:before="40" w:after="40"/>
              <w:jc w:val="center"/>
            </w:pPr>
            <w:r>
              <w:rPr>
                <w:color w:val="4a5568"/>
                <w:sz w:val="20"/>
              </w:rPr>
              <w:t xml:space="preserve">DFS dataset</w:t>
            </w:r>
          </w:p>
        </w:tc>
        <w:tc>
          <w:tcPr>
            <w:tcW w:w="1500" w:type="dxa"/>
            <w:vAlign w:val="center"/>
          </w:tcPr>
          <w:p>
            <w:pPr>
              <w:spacing w:before="40" w:after="40"/>
              <w:jc w:val="center"/>
            </w:pPr>
            <w:r>
              <w:rPr>
                <w:color w:val="4a5568"/>
                <w:sz w:val="20"/>
              </w:rPr>
              <w:t xml:space="preserve">RT-DETRFocus+CLBP+VQGAN</w:t>
            </w:r>
          </w:p>
        </w:tc>
        <w:tc>
          <w:tcPr>
            <w:tcW w:w="1500" w:type="dxa"/>
            <w:vAlign w:val="center"/>
          </w:tcPr>
          <w:p>
            <w:pPr>
              <w:spacing w:before="40" w:after="40"/>
              <w:jc w:val="center"/>
            </w:pPr>
            <w:r>
              <w:rPr>
                <w:color w:val="4a5568"/>
                <w:sz w:val="20"/>
              </w:rPr>
              <w:t xml:space="preserve">Precision 98.23%</w:t>
            </w:r>
          </w:p>
        </w:tc>
        <w:tc>
          <w:tcPr>
            <w:tcW w:w="1500" w:type="dxa"/>
            <w:vAlign w:val="center"/>
          </w:tcPr>
          <w:p>
            <w:pPr>
              <w:spacing w:before="40" w:after="40"/>
              <w:jc w:val="center"/>
            </w:pPr>
            <w:r>
              <w:rPr>
                <w:color w:val="4a5568"/>
                <w:sz w:val="20"/>
              </w:rPr>
              <w:t xml:space="preserve">Deep verification via generative model</w:t>
            </w:r>
          </w:p>
        </w:tc>
      </w:tr>
      <w:tr>
        <w:tc>
          <w:tcPr>
            <w:tcW w:w="1500" w:type="dxa"/>
            <w:vAlign w:val="center"/>
          </w:tcPr>
          <w:p>
            <w:pPr>
              <w:spacing w:before="40" w:after="40"/>
              <w:jc w:val="center"/>
            </w:pPr>
            <w:r>
              <w:rPr>
                <w:color w:val="4a5568"/>
                <w:sz w:val="20"/>
              </w:rPr>
              <w:t xml:space="preserve">ResCaps-TC-Attn</w:t>
            </w:r>
          </w:p>
        </w:tc>
        <w:tc>
          <w:tcPr>
            <w:tcW w:w="1500" w:type="dxa"/>
            <w:vAlign w:val="center"/>
          </w:tcPr>
          <w:p>
            <w:pPr>
              <w:spacing w:before="40" w:after="40"/>
              <w:jc w:val="center"/>
            </w:pPr>
            <w:r>
              <w:rPr>
                <w:color w:val="4a5568"/>
                <w:sz w:val="20"/>
              </w:rPr>
              <w:t xml:space="preserve">2025</w:t>
            </w:r>
          </w:p>
        </w:tc>
        <w:tc>
          <w:tcPr>
            <w:tcW w:w="1500" w:type="dxa"/>
            <w:vAlign w:val="center"/>
          </w:tcPr>
          <w:p>
            <w:pPr>
              <w:spacing w:before="40" w:after="40"/>
              <w:jc w:val="center"/>
            </w:pPr>
            <w:r>
              <w:rPr>
                <w:color w:val="4a5568"/>
                <w:sz w:val="20"/>
              </w:rPr>
              <w:t xml:space="preserve">UAV forest imagery</w:t>
            </w:r>
          </w:p>
        </w:tc>
        <w:tc>
          <w:tcPr>
            <w:tcW w:w="1500" w:type="dxa"/>
            <w:vAlign w:val="center"/>
          </w:tcPr>
          <w:p>
            <w:pPr>
              <w:spacing w:before="40" w:after="40"/>
              <w:jc w:val="center"/>
            </w:pPr>
            <w:r>
              <w:rPr>
                <w:color w:val="4a5568"/>
                <w:sz w:val="20"/>
              </w:rPr>
              <w:t xml:space="preserve">ResCaps + TC + Attention</w:t>
            </w:r>
          </w:p>
        </w:tc>
        <w:tc>
          <w:tcPr>
            <w:tcW w:w="1500" w:type="dxa"/>
            <w:vAlign w:val="center"/>
          </w:tcPr>
          <w:p>
            <w:pPr>
              <w:spacing w:before="40" w:after="40"/>
              <w:jc w:val="center"/>
            </w:pPr>
            <w:r>
              <w:rPr>
                <w:color w:val="4a5568"/>
                <w:sz w:val="20"/>
              </w:rPr>
              <w:t xml:space="preserve">Precision 99.78%</w:t>
            </w:r>
          </w:p>
        </w:tc>
        <w:tc>
          <w:tcPr>
            <w:tcW w:w="1500" w:type="dxa"/>
            <w:vAlign w:val="center"/>
          </w:tcPr>
          <w:p>
            <w:pPr>
              <w:spacing w:before="40" w:after="40"/>
              <w:jc w:val="center"/>
            </w:pPr>
            <w:r>
              <w:rPr>
                <w:color w:val="4a5568"/>
                <w:sz w:val="20"/>
              </w:rPr>
              <w:t xml:space="preserve">Capsule nets for UAV small fire</w:t>
            </w:r>
          </w:p>
        </w:tc>
      </w:tr>
    </w:tbl>
    <w:p>
      <w:pPr>
        <w:pStyle w:val="Heading1"/>
      </w:pPr>
      <w:r>
        <w:t xml:space="preserve">  Chapter Three: Dataset Overview</w:t>
      </w:r>
      <w:bookmarkStart w:name="_Toc004" w:id="4"/>
      <w:bookmarkEnd w:id="4"/>
    </w:p>
    <w:p>
      <w:pPr>
        <w:pStyle w:val="Heading2"/>
      </w:pPr>
      <w:r>
        <w:t>3.1 FLAME-2 Dataset</w:t>
      </w:r>
    </w:p>
    <w:p>
      <w:pPr>
        <w:pStyle w:val="Heading3"/>
      </w:pPr>
      <w:r>
        <w:t>3.1.1 Introduction</w:t>
      </w:r>
    </w:p>
    <w:p>
      <w:pPr>
        <w:pStyle w:val="Normal"/>
      </w:pPr>
      <w:r>
        <w:t xml:space="preserve">FLAME-2 (Fire detection and modeLing: Aerial Multi-spectral imagE dataset) is the primary dataset used in this project. It is one of the most comprehensive publicly available aerial wildfire datasets, developed to address the scarcity of high-quality, accurately annotated data for training deep learning models in the fire detection domain. FLAME-2 was collected using UAVs equipped with dual RGB/IR cameras during prescribed burns in open-canopy ponderosa pine forests in northern Arizona in November 2021.</w:t>
      </w:r>
    </w:p>
    <w:p>
      <w:pPr>
        <w:pStyle w:val="Normal"/>
      </w:pPr>
      <w:r>
        <w:t xml:space="preserve">The dataset provides pairs of synchronized RGB and thermal infrared frames, making it ideal for multi-modal fusion approaches such as AI-FireGuard's thermal-optical strategy. Expert annotators labeled each frame pair independently using binary classifications for fire presence (Fire/NoFire) and smoke presence (Smoke/NoSmoke).</w:t>
      </w:r>
    </w:p>
    <w:p>
      <w:pPr>
        <w:pStyle w:val="Heading3"/>
      </w:pPr>
      <w:r>
        <w:t>3.1.2 Dataset Specifications</w:t>
      </w:r>
    </w:p>
    <w:tbl>
      <w:tblPr>
        <w:tblW w:w="5000" w:type="pct"/>
        <w:tblBorders>
          <w:top w:val="single" w:color="1a365d" w:sz="12"/>
          <w:left w:val="nil"/>
          <w:bottom w:val="single" w:color="1a365d" w:sz="12"/>
          <w:right w:val="nil"/>
          <w:insideH w:val="single" w:color="e2e8f0" w:sz="4"/>
          <w:insideV w:val="nil"/>
        </w:tblBorders>
      </w:tblPr>
      <w:tblGrid>
        <w:gridCol w:w="4500"/>
        <w:gridCol w:w="4500"/>
      </w:tblGrid>
      <w:tr>
        <w:trPr>
          <w:tblHeader/>
        </w:trPr>
        <w:tc>
          <w:tcPr>
            <w:tcW w:w="4500" w:type="dxa"/>
            <w:shd w:val="clear" w:fill="edf2f7"/>
            <w:vAlign w:val="center"/>
          </w:tcPr>
          <w:p>
            <w:pPr>
              <w:spacing w:before="60" w:after="60"/>
              <w:jc w:val="center"/>
            </w:pPr>
            <w:r>
              <w:rPr>
                <w:b/>
                <w:color w:val="1a202c"/>
                <w:sz w:val="20"/>
              </w:rPr>
              <w:t>Property</w:t>
            </w:r>
          </w:p>
        </w:tc>
        <w:tc>
          <w:tcPr>
            <w:tcW w:w="4500" w:type="dxa"/>
            <w:shd w:val="clear" w:fill="edf2f7"/>
            <w:vAlign w:val="center"/>
          </w:tcPr>
          <w:p>
            <w:pPr>
              <w:spacing w:before="60" w:after="60"/>
              <w:jc w:val="center"/>
            </w:pPr>
            <w:r>
              <w:rPr>
                <w:b/>
                <w:color w:val="1a202c"/>
                <w:sz w:val="20"/>
              </w:rPr>
              <w:t>Value</w:t>
            </w:r>
          </w:p>
        </w:tc>
      </w:tr>
      <w:tr>
        <w:tc>
          <w:tcPr>
            <w:tcW w:w="4500" w:type="dxa"/>
            <w:vAlign w:val="center"/>
          </w:tcPr>
          <w:p>
            <w:pPr>
              <w:spacing w:before="40" w:after="40"/>
              <w:jc w:val="center"/>
            </w:pPr>
            <w:r>
              <w:rPr>
                <w:color w:val="4a5568"/>
                <w:sz w:val="20"/>
              </w:rPr>
              <w:t xml:space="preserve">Total frame pairs (RGB/IR)</w:t>
            </w:r>
          </w:p>
        </w:tc>
        <w:tc>
          <w:tcPr>
            <w:tcW w:w="4500" w:type="dxa"/>
            <w:vAlign w:val="center"/>
          </w:tcPr>
          <w:p>
            <w:pPr>
              <w:spacing w:before="40" w:after="40"/>
              <w:jc w:val="center"/>
            </w:pPr>
            <w:r>
              <w:rPr>
                <w:color w:val="4a5568"/>
                <w:sz w:val="20"/>
              </w:rPr>
              <w:t xml:space="preserve">53,541</w:t>
            </w:r>
          </w:p>
        </w:tc>
      </w:tr>
      <w:tr>
        <w:tc>
          <w:tcPr>
            <w:tcW w:w="4500" w:type="dxa"/>
            <w:vAlign w:val="center"/>
          </w:tcPr>
          <w:p>
            <w:pPr>
              <w:spacing w:before="40" w:after="40"/>
              <w:jc w:val="center"/>
            </w:pPr>
            <w:r>
              <w:rPr>
                <w:color w:val="4a5568"/>
                <w:sz w:val="20"/>
              </w:rPr>
              <w:t xml:space="preserve">IR frame resolution</w:t>
            </w:r>
          </w:p>
        </w:tc>
        <w:tc>
          <w:tcPr>
            <w:tcW w:w="4500" w:type="dxa"/>
            <w:vAlign w:val="center"/>
          </w:tcPr>
          <w:p>
            <w:pPr>
              <w:spacing w:before="40" w:after="40"/>
              <w:jc w:val="center"/>
            </w:pPr>
            <w:r>
              <w:rPr>
                <w:color w:val="4a5568"/>
                <w:sz w:val="20"/>
              </w:rPr>
              <w:t xml:space="preserve">640p × 512p</w:t>
            </w:r>
          </w:p>
        </w:tc>
      </w:tr>
      <w:tr>
        <w:tc>
          <w:tcPr>
            <w:tcW w:w="4500" w:type="dxa"/>
            <w:vAlign w:val="center"/>
          </w:tcPr>
          <w:p>
            <w:pPr>
              <w:spacing w:before="40" w:after="40"/>
              <w:jc w:val="center"/>
            </w:pPr>
            <w:r>
              <w:rPr>
                <w:color w:val="4a5568"/>
                <w:sz w:val="20"/>
              </w:rPr>
              <w:t xml:space="preserve">RGB frame resolution</w:t>
            </w:r>
          </w:p>
        </w:tc>
        <w:tc>
          <w:tcPr>
            <w:tcW w:w="4500" w:type="dxa"/>
            <w:vAlign w:val="center"/>
          </w:tcPr>
          <w:p>
            <w:pPr>
              <w:spacing w:before="40" w:after="40"/>
              <w:jc w:val="center"/>
            </w:pPr>
            <w:r>
              <w:rPr>
                <w:color w:val="4a5568"/>
                <w:sz w:val="20"/>
              </w:rPr>
              <w:t xml:space="preserve">Up to 3840p × 2160p (4K); scaled pairs: 254p × 254p</w:t>
            </w:r>
          </w:p>
        </w:tc>
      </w:tr>
      <w:tr>
        <w:tc>
          <w:tcPr>
            <w:tcW w:w="4500" w:type="dxa"/>
            <w:vAlign w:val="center"/>
          </w:tcPr>
          <w:p>
            <w:pPr>
              <w:spacing w:before="40" w:after="40"/>
              <w:jc w:val="center"/>
            </w:pPr>
            <w:r>
              <w:rPr>
                <w:color w:val="4a5568"/>
                <w:sz w:val="20"/>
              </w:rPr>
              <w:t xml:space="preserve">Video pairs (raw, unlabeled)</w:t>
            </w:r>
          </w:p>
        </w:tc>
        <w:tc>
          <w:tcPr>
            <w:tcW w:w="4500" w:type="dxa"/>
            <w:vAlign w:val="center"/>
          </w:tcPr>
          <w:p>
            <w:pPr>
              <w:spacing w:before="40" w:after="40"/>
              <w:jc w:val="center"/>
            </w:pPr>
            <w:r>
              <w:rPr>
                <w:color w:val="4a5568"/>
                <w:sz w:val="20"/>
              </w:rPr>
              <w:t xml:space="preserve">7 pairs (30 FPS)</w:t>
            </w:r>
          </w:p>
        </w:tc>
      </w:tr>
      <w:tr>
        <w:tc>
          <w:tcPr>
            <w:tcW w:w="4500" w:type="dxa"/>
            <w:vAlign w:val="center"/>
          </w:tcPr>
          <w:p>
            <w:pPr>
              <w:spacing w:before="40" w:after="40"/>
              <w:jc w:val="center"/>
            </w:pPr>
            <w:r>
              <w:rPr>
                <w:color w:val="4a5568"/>
                <w:sz w:val="20"/>
              </w:rPr>
              <w:t xml:space="preserve">Dataset size</w:t>
            </w:r>
          </w:p>
        </w:tc>
        <w:tc>
          <w:tcPr>
            <w:tcW w:w="4500" w:type="dxa"/>
            <w:vAlign w:val="center"/>
          </w:tcPr>
          <w:p>
            <w:pPr>
              <w:spacing w:before="40" w:after="40"/>
              <w:jc w:val="center"/>
            </w:pPr>
            <w:r>
              <w:rPr>
                <w:color w:val="4a5568"/>
                <w:sz w:val="20"/>
              </w:rPr>
              <w:t xml:space="preserve">35–40 GB</w:t>
            </w:r>
          </w:p>
        </w:tc>
      </w:tr>
      <w:tr>
        <w:tc>
          <w:tcPr>
            <w:tcW w:w="4500" w:type="dxa"/>
            <w:vAlign w:val="center"/>
          </w:tcPr>
          <w:p>
            <w:pPr>
              <w:spacing w:before="40" w:after="40"/>
              <w:jc w:val="center"/>
            </w:pPr>
            <w:r>
              <w:rPr>
                <w:color w:val="4a5568"/>
                <w:sz w:val="20"/>
              </w:rPr>
              <w:t xml:space="preserve">Collection location</w:t>
            </w:r>
          </w:p>
        </w:tc>
        <w:tc>
          <w:tcPr>
            <w:tcW w:w="4500" w:type="dxa"/>
            <w:vAlign w:val="center"/>
          </w:tcPr>
          <w:p>
            <w:pPr>
              <w:spacing w:before="40" w:after="40"/>
              <w:jc w:val="center"/>
            </w:pPr>
            <w:r>
              <w:rPr>
                <w:color w:val="4a5568"/>
                <w:sz w:val="20"/>
              </w:rPr>
              <w:t xml:space="preserve">Northern Arizona, USA (open-canopy pine forest)</w:t>
            </w:r>
          </w:p>
        </w:tc>
      </w:tr>
      <w:tr>
        <w:tc>
          <w:tcPr>
            <w:tcW w:w="4500" w:type="dxa"/>
            <w:vAlign w:val="center"/>
          </w:tcPr>
          <w:p>
            <w:pPr>
              <w:spacing w:before="40" w:after="40"/>
              <w:jc w:val="center"/>
            </w:pPr>
            <w:r>
              <w:rPr>
                <w:color w:val="4a5568"/>
                <w:sz w:val="20"/>
              </w:rPr>
              <w:t xml:space="preserve">Collection date</w:t>
            </w:r>
          </w:p>
        </w:tc>
        <w:tc>
          <w:tcPr>
            <w:tcW w:w="4500" w:type="dxa"/>
            <w:vAlign w:val="center"/>
          </w:tcPr>
          <w:p>
            <w:pPr>
              <w:spacing w:before="40" w:after="40"/>
              <w:jc w:val="center"/>
            </w:pPr>
            <w:r>
              <w:rPr>
                <w:color w:val="4a5568"/>
                <w:sz w:val="20"/>
              </w:rPr>
              <w:t xml:space="preserve">November 2021</w:t>
            </w:r>
          </w:p>
        </w:tc>
      </w:tr>
      <w:tr>
        <w:tc>
          <w:tcPr>
            <w:tcW w:w="4500" w:type="dxa"/>
            <w:vAlign w:val="center"/>
          </w:tcPr>
          <w:p>
            <w:pPr>
              <w:spacing w:before="40" w:after="40"/>
              <w:jc w:val="center"/>
            </w:pPr>
            <w:r>
              <w:rPr>
                <w:color w:val="4a5568"/>
                <w:sz w:val="20"/>
              </w:rPr>
              <w:t xml:space="preserve">Camera system</w:t>
            </w:r>
          </w:p>
        </w:tc>
        <w:tc>
          <w:tcPr>
            <w:tcW w:w="4500" w:type="dxa"/>
            <w:vAlign w:val="center"/>
          </w:tcPr>
          <w:p>
            <w:pPr>
              <w:spacing w:before="40" w:after="40"/>
              <w:jc w:val="center"/>
            </w:pPr>
            <w:r>
              <w:rPr>
                <w:color w:val="4a5568"/>
                <w:sz w:val="20"/>
              </w:rPr>
              <w:t xml:space="preserve">DJI Mavic 2 Enterprise Advanced (dual RGB/IR)</w:t>
            </w:r>
          </w:p>
        </w:tc>
      </w:tr>
    </w:tbl>
    <w:p>
      <w:pPr>
        <w:pStyle w:val="Heading3"/>
      </w:pPr>
      <w:r>
        <w:t>3.1.3 Class Distribution</w:t>
      </w:r>
    </w:p>
    <w:tbl>
      <w:tblPr>
        <w:tblW w:w="5000" w:type="pct"/>
        <w:tblBorders>
          <w:top w:val="single" w:color="1a365d" w:sz="12"/>
          <w:left w:val="nil"/>
          <w:bottom w:val="single" w:color="1a365d" w:sz="12"/>
          <w:right w:val="nil"/>
          <w:insideH w:val="single" w:color="e2e8f0" w:sz="4"/>
          <w:insideV w:val="nil"/>
        </w:tblBorders>
      </w:tblPr>
      <w:tblGrid>
        <w:gridCol w:w="2250"/>
        <w:gridCol w:w="2250"/>
        <w:gridCol w:w="2250"/>
        <w:gridCol w:w="2250"/>
      </w:tblGrid>
      <w:tr>
        <w:trPr>
          <w:tblHeader/>
        </w:trPr>
        <w:tc>
          <w:tcPr>
            <w:tcW w:w="2250" w:type="dxa"/>
            <w:shd w:val="clear" w:fill="edf2f7"/>
            <w:vAlign w:val="center"/>
          </w:tcPr>
          <w:p>
            <w:pPr>
              <w:spacing w:before="60" w:after="60"/>
              <w:jc w:val="center"/>
            </w:pPr>
            <w:r>
              <w:rPr>
                <w:b/>
                <w:color w:val="1a202c"/>
                <w:sz w:val="20"/>
              </w:rPr>
              <w:t>Class Label</w:t>
            </w:r>
          </w:p>
        </w:tc>
        <w:tc>
          <w:tcPr>
            <w:tcW w:w="2250" w:type="dxa"/>
            <w:shd w:val="clear" w:fill="edf2f7"/>
            <w:vAlign w:val="center"/>
          </w:tcPr>
          <w:p>
            <w:pPr>
              <w:spacing w:before="60" w:after="60"/>
              <w:jc w:val="center"/>
            </w:pPr>
            <w:r>
              <w:rPr>
                <w:b/>
                <w:color w:val="1a202c"/>
                <w:sz w:val="20"/>
              </w:rPr>
              <w:t>Description</w:t>
            </w:r>
          </w:p>
        </w:tc>
        <w:tc>
          <w:tcPr>
            <w:tcW w:w="2250" w:type="dxa"/>
            <w:shd w:val="clear" w:fill="edf2f7"/>
            <w:vAlign w:val="center"/>
          </w:tcPr>
          <w:p>
            <w:pPr>
              <w:spacing w:before="60" w:after="60"/>
              <w:jc w:val="center"/>
            </w:pPr>
            <w:r>
              <w:rPr>
                <w:b/>
                <w:color w:val="1a202c"/>
                <w:sz w:val="20"/>
              </w:rPr>
              <w:t>Frame Count</w:t>
            </w:r>
          </w:p>
        </w:tc>
        <w:tc>
          <w:tcPr>
            <w:tcW w:w="2250" w:type="dxa"/>
            <w:shd w:val="clear" w:fill="edf2f7"/>
            <w:vAlign w:val="center"/>
          </w:tcPr>
          <w:p>
            <w:pPr>
              <w:spacing w:before="60" w:after="60"/>
              <w:jc w:val="center"/>
            </w:pPr>
            <w:r>
              <w:rPr>
                <w:b/>
                <w:color w:val="1a202c"/>
                <w:sz w:val="20"/>
              </w:rPr>
              <w:t>Percentage</w:t>
            </w:r>
          </w:p>
        </w:tc>
      </w:tr>
      <w:tr>
        <w:tc>
          <w:tcPr>
            <w:tcW w:w="2250" w:type="dxa"/>
            <w:vAlign w:val="center"/>
          </w:tcPr>
          <w:p>
            <w:pPr>
              <w:spacing w:before="40" w:after="40"/>
              <w:jc w:val="center"/>
            </w:pPr>
            <w:r>
              <w:rPr>
                <w:color w:val="4a5568"/>
                <w:sz w:val="20"/>
              </w:rPr>
              <w:t xml:space="preserve">YY (Fire + Smoke)</w:t>
            </w:r>
          </w:p>
        </w:tc>
        <w:tc>
          <w:tcPr>
            <w:tcW w:w="2250" w:type="dxa"/>
            <w:vAlign w:val="center"/>
          </w:tcPr>
          <w:p>
            <w:pPr>
              <w:spacing w:before="40" w:after="40"/>
              <w:jc w:val="center"/>
            </w:pPr>
            <w:r>
              <w:rPr>
                <w:color w:val="4a5568"/>
                <w:sz w:val="20"/>
              </w:rPr>
              <w:t xml:space="preserve">Frames containing both fire and smoke</w:t>
            </w:r>
          </w:p>
        </w:tc>
        <w:tc>
          <w:tcPr>
            <w:tcW w:w="2250" w:type="dxa"/>
            <w:vAlign w:val="center"/>
          </w:tcPr>
          <w:p>
            <w:pPr>
              <w:spacing w:before="40" w:after="40"/>
              <w:jc w:val="center"/>
            </w:pPr>
            <w:r>
              <w:rPr>
                <w:color w:val="4a5568"/>
                <w:sz w:val="20"/>
              </w:rPr>
              <w:t xml:space="preserve">21,655</w:t>
            </w:r>
          </w:p>
        </w:tc>
        <w:tc>
          <w:tcPr>
            <w:tcW w:w="2250" w:type="dxa"/>
            <w:vAlign w:val="center"/>
          </w:tcPr>
          <w:p>
            <w:pPr>
              <w:spacing w:before="40" w:after="40"/>
              <w:jc w:val="center"/>
            </w:pPr>
            <w:r>
              <w:rPr>
                <w:color w:val="4a5568"/>
                <w:sz w:val="20"/>
              </w:rPr>
              <w:t xml:space="preserve">40.4%</w:t>
            </w:r>
          </w:p>
        </w:tc>
      </w:tr>
      <w:tr>
        <w:tc>
          <w:tcPr>
            <w:tcW w:w="2250" w:type="dxa"/>
            <w:vAlign w:val="center"/>
          </w:tcPr>
          <w:p>
            <w:pPr>
              <w:spacing w:before="40" w:after="40"/>
              <w:jc w:val="center"/>
            </w:pPr>
            <w:r>
              <w:rPr>
                <w:color w:val="4a5568"/>
                <w:sz w:val="20"/>
              </w:rPr>
              <w:t xml:space="preserve">YN (Fire only)</w:t>
            </w:r>
          </w:p>
        </w:tc>
        <w:tc>
          <w:tcPr>
            <w:tcW w:w="2250" w:type="dxa"/>
            <w:vAlign w:val="center"/>
          </w:tcPr>
          <w:p>
            <w:pPr>
              <w:spacing w:before="40" w:after="40"/>
              <w:jc w:val="center"/>
            </w:pPr>
            <w:r>
              <w:rPr>
                <w:color w:val="4a5568"/>
                <w:sz w:val="20"/>
              </w:rPr>
              <w:t xml:space="preserve">Frames containing fire but no smoke</w:t>
            </w:r>
          </w:p>
        </w:tc>
        <w:tc>
          <w:tcPr>
            <w:tcW w:w="2250" w:type="dxa"/>
            <w:vAlign w:val="center"/>
          </w:tcPr>
          <w:p>
            <w:pPr>
              <w:spacing w:before="40" w:after="40"/>
              <w:jc w:val="center"/>
            </w:pPr>
            <w:r>
              <w:rPr>
                <w:color w:val="4a5568"/>
                <w:sz w:val="20"/>
              </w:rPr>
              <w:t xml:space="preserve">14,317</w:t>
            </w:r>
          </w:p>
        </w:tc>
        <w:tc>
          <w:tcPr>
            <w:tcW w:w="2250" w:type="dxa"/>
            <w:vAlign w:val="center"/>
          </w:tcPr>
          <w:p>
            <w:pPr>
              <w:spacing w:before="40" w:after="40"/>
              <w:jc w:val="center"/>
            </w:pPr>
            <w:r>
              <w:rPr>
                <w:color w:val="4a5568"/>
                <w:sz w:val="20"/>
              </w:rPr>
              <w:t xml:space="preserve">26.7%</w:t>
            </w:r>
          </w:p>
        </w:tc>
      </w:tr>
      <w:tr>
        <w:tc>
          <w:tcPr>
            <w:tcW w:w="2250" w:type="dxa"/>
            <w:vAlign w:val="center"/>
          </w:tcPr>
          <w:p>
            <w:pPr>
              <w:spacing w:before="40" w:after="40"/>
              <w:jc w:val="center"/>
            </w:pPr>
            <w:r>
              <w:rPr>
                <w:color w:val="4a5568"/>
                <w:sz w:val="20"/>
              </w:rPr>
              <w:t xml:space="preserve">NN (No Fire, No Smoke)</w:t>
            </w:r>
          </w:p>
        </w:tc>
        <w:tc>
          <w:tcPr>
            <w:tcW w:w="2250" w:type="dxa"/>
            <w:vAlign w:val="center"/>
          </w:tcPr>
          <w:p>
            <w:pPr>
              <w:spacing w:before="40" w:after="40"/>
              <w:jc w:val="center"/>
            </w:pPr>
            <w:r>
              <w:rPr>
                <w:color w:val="4a5568"/>
                <w:sz w:val="20"/>
              </w:rPr>
              <w:t xml:space="preserve">Background frames with neither fire nor smoke</w:t>
            </w:r>
          </w:p>
        </w:tc>
        <w:tc>
          <w:tcPr>
            <w:tcW w:w="2250" w:type="dxa"/>
            <w:vAlign w:val="center"/>
          </w:tcPr>
          <w:p>
            <w:pPr>
              <w:spacing w:before="40" w:after="40"/>
              <w:jc w:val="center"/>
            </w:pPr>
            <w:r>
              <w:rPr>
                <w:color w:val="4a5568"/>
                <w:sz w:val="20"/>
              </w:rPr>
              <w:t xml:space="preserve">13,700</w:t>
            </w:r>
          </w:p>
        </w:tc>
        <w:tc>
          <w:tcPr>
            <w:tcW w:w="2250" w:type="dxa"/>
            <w:vAlign w:val="center"/>
          </w:tcPr>
          <w:p>
            <w:pPr>
              <w:spacing w:before="40" w:after="40"/>
              <w:jc w:val="center"/>
            </w:pPr>
            <w:r>
              <w:rPr>
                <w:color w:val="4a5568"/>
                <w:sz w:val="20"/>
              </w:rPr>
              <w:t xml:space="preserve">25.6%</w:t>
            </w:r>
          </w:p>
        </w:tc>
      </w:tr>
      <w:tr>
        <w:tc>
          <w:tcPr>
            <w:tcW w:w="2250" w:type="dxa"/>
            <w:vAlign w:val="center"/>
          </w:tcPr>
          <w:p>
            <w:pPr>
              <w:spacing w:before="40" w:after="40"/>
              <w:jc w:val="center"/>
            </w:pPr>
            <w:r>
              <w:rPr>
                <w:color w:val="4a5568"/>
                <w:sz w:val="20"/>
              </w:rPr>
              <w:t xml:space="preserve">NY (Smoke only)</w:t>
            </w:r>
          </w:p>
        </w:tc>
        <w:tc>
          <w:tcPr>
            <w:tcW w:w="2250" w:type="dxa"/>
            <w:vAlign w:val="center"/>
          </w:tcPr>
          <w:p>
            <w:pPr>
              <w:spacing w:before="40" w:after="40"/>
              <w:jc w:val="center"/>
            </w:pPr>
            <w:r>
              <w:rPr>
                <w:color w:val="4a5568"/>
                <w:sz w:val="20"/>
              </w:rPr>
              <w:t xml:space="preserve">Frames containing smoke but no fire</w:t>
            </w:r>
          </w:p>
        </w:tc>
        <w:tc>
          <w:tcPr>
            <w:tcW w:w="2250" w:type="dxa"/>
            <w:vAlign w:val="center"/>
          </w:tcPr>
          <w:p>
            <w:pPr>
              <w:spacing w:before="40" w:after="40"/>
              <w:jc w:val="center"/>
            </w:pPr>
            <w:r>
              <w:rPr>
                <w:color w:val="4a5568"/>
                <w:sz w:val="20"/>
              </w:rPr>
              <w:t xml:space="preserve">3,869</w:t>
            </w:r>
          </w:p>
        </w:tc>
        <w:tc>
          <w:tcPr>
            <w:tcW w:w="2250" w:type="dxa"/>
            <w:vAlign w:val="center"/>
          </w:tcPr>
          <w:p>
            <w:pPr>
              <w:spacing w:before="40" w:after="40"/>
              <w:jc w:val="center"/>
            </w:pPr>
            <w:r>
              <w:rPr>
                <w:color w:val="4a5568"/>
                <w:sz w:val="20"/>
              </w:rPr>
              <w:t xml:space="preserve">7.2%</w:t>
            </w:r>
          </w:p>
        </w:tc>
      </w:tr>
      <w:tr>
        <w:tc>
          <w:tcPr>
            <w:tcW w:w="2250" w:type="dxa"/>
            <w:vAlign w:val="center"/>
          </w:tcPr>
          <w:p>
            <w:pPr>
              <w:spacing w:before="40" w:after="40"/>
              <w:jc w:val="center"/>
            </w:pPr>
            <w:r>
              <w:rPr>
                <w:color w:val="4a5568"/>
                <w:sz w:val="20"/>
              </w:rPr>
              <w:t xml:space="preserve">Total</w:t>
            </w:r>
          </w:p>
        </w:tc>
        <w:tc>
          <w:tcPr>
            <w:tcW w:w="2250" w:type="dxa"/>
            <w:vAlign w:val="center"/>
          </w:tcPr>
          <w:p>
            <w:pPr>
              <w:spacing w:before="40" w:after="40"/>
              <w:jc w:val="center"/>
            </w:pPr>
            <w:r>
              <w:rPr>
                <w:color w:val="4a5568"/>
                <w:sz w:val="20"/>
              </w:rPr>
              <w:t xml:space="preserve"/>
            </w:r>
          </w:p>
        </w:tc>
        <w:tc>
          <w:tcPr>
            <w:tcW w:w="2250" w:type="dxa"/>
            <w:vAlign w:val="center"/>
          </w:tcPr>
          <w:p>
            <w:pPr>
              <w:spacing w:before="40" w:after="40"/>
              <w:jc w:val="center"/>
            </w:pPr>
            <w:r>
              <w:rPr>
                <w:color w:val="4a5568"/>
                <w:sz w:val="20"/>
              </w:rPr>
              <w:t xml:space="preserve">53,541</w:t>
            </w:r>
          </w:p>
        </w:tc>
        <w:tc>
          <w:tcPr>
            <w:tcW w:w="2250" w:type="dxa"/>
            <w:vAlign w:val="center"/>
          </w:tcPr>
          <w:p>
            <w:pPr>
              <w:spacing w:before="40" w:after="40"/>
              <w:jc w:val="center"/>
            </w:pPr>
            <w:r>
              <w:rPr>
                <w:color w:val="4a5568"/>
                <w:sz w:val="20"/>
              </w:rPr>
              <w:t xml:space="preserve">100%</w:t>
            </w:r>
          </w:p>
        </w:tc>
      </w:tr>
    </w:tbl>
    <w:p>
      <w:pPr>
        <w:pStyle w:val="Heading3"/>
      </w:pPr>
      <w:r>
        <w:t>3.1.4 Strengths for AI-FireGuard</w:t>
      </w:r>
    </w:p>
    <w:p>
      <w:pPr>
        <w:spacing w:after="120" w:line="312" w:lineRule="auto"/>
        <w:ind w:left="720" w:hanging="360"/>
      </w:pPr>
      <w:r>
        <w:rPr>
          <w:color w:val="1a202c"/>
        </w:rPr>
        <w:t xml:space="preserve">•  Multi-spectral data (RGB + IR) aligns directly with AI-FireGuard's Thermal–Optical Fusion strategy, enabling simultaneous exploitation of both modalities.</w:t>
      </w:r>
    </w:p>
    <w:p>
      <w:pPr>
        <w:spacing w:after="120" w:line="312" w:lineRule="auto"/>
        <w:ind w:left="720" w:hanging="360"/>
      </w:pPr>
      <w:r>
        <w:rPr>
          <w:color w:val="1a202c"/>
        </w:rPr>
        <w:t xml:space="preserve">•  Aerial UAV collection reflects the exact operational scenario of AI-FireGuard, ensuring high domain compatibility.</w:t>
      </w:r>
    </w:p>
    <w:p>
      <w:pPr>
        <w:spacing w:after="120" w:line="312" w:lineRule="auto"/>
        <w:ind w:left="720" w:hanging="360"/>
      </w:pPr>
      <w:r>
        <w:rPr>
          <w:color w:val="1a202c"/>
        </w:rPr>
        <w:t xml:space="preserve">•  Expert annotation by two independent annotators ensures high label quality for model training and evaluation.</w:t>
      </w:r>
    </w:p>
    <w:p>
      <w:pPr>
        <w:spacing w:after="120" w:line="312" w:lineRule="auto"/>
        <w:ind w:left="720" w:hanging="360"/>
      </w:pPr>
      <w:r>
        <w:rPr>
          <w:color w:val="1a202c"/>
        </w:rPr>
        <w:t xml:space="preserve">•  Realistic prescribed-burn scenarios provide genuine fire signatures under varying conditions of smoke density and fire intensity.</w:t>
      </w:r>
    </w:p>
    <w:p>
      <w:pPr>
        <w:pStyle w:val="Heading3"/>
      </w:pPr>
      <w:r>
        <w:t>3.1.5 Limitations</w:t>
      </w:r>
    </w:p>
    <w:p>
      <w:pPr>
        <w:spacing w:after="120" w:line="312" w:lineRule="auto"/>
        <w:ind w:left="720" w:hanging="360"/>
      </w:pPr>
      <w:r>
        <w:rPr>
          <w:color w:val="1a202c"/>
        </w:rPr>
        <w:t xml:space="preserve">•  Data was collected exclusively in open-canopy pine forests in Arizona; performance may degrade in dense forests, tropical environments, or urban fire scenarios.</w:t>
      </w:r>
    </w:p>
    <w:p>
      <w:pPr>
        <w:spacing w:after="120" w:line="312" w:lineRule="auto"/>
        <w:ind w:left="720" w:hanging="360"/>
      </w:pPr>
      <w:r>
        <w:rPr>
          <w:color w:val="1a202c"/>
        </w:rPr>
        <w:t xml:space="preserve">•  The IR resolution (640×512) is significantly lower than the RGB resolution (up to 4K), potentially limiting fine-grained thermal localization.</w:t>
      </w:r>
    </w:p>
    <w:p>
      <w:pPr>
        <w:spacing w:after="120" w:line="312" w:lineRule="auto"/>
        <w:ind w:left="720" w:hanging="360"/>
      </w:pPr>
      <w:r>
        <w:rPr>
          <w:color w:val="1a202c"/>
        </w:rPr>
        <w:t xml:space="preserve">•  Smoke annotation (based on occupying ≥50% of a 254×254 RGB frame) introduces some subjectivity in borderline cases.</w:t>
      </w:r>
    </w:p>
    <w:p>
      <w:pPr>
        <w:pStyle w:val="Heading2"/>
      </w:pPr>
      <w:r>
        <w:t>3.2 Dataset Usage in AI-FireGuard</w:t>
      </w:r>
    </w:p>
    <w:p>
      <w:pPr>
        <w:pStyle w:val="Heading3"/>
      </w:pPr>
      <w:r>
        <w:t>3.2.1 Autoencoder Training</w:t>
      </w:r>
    </w:p>
    <w:p>
      <w:pPr>
        <w:pStyle w:val="Normal"/>
      </w:pPr>
      <w:r>
        <w:t xml:space="preserve">The convolutional autoencoder was trained exclusively on the 13,700 no-fire (NN class) thermal IR frames to learn a compact representation of the normal thermal background. Of these, 85% (11,645 frames) were used for training and 15% (2,055 frames) for validation.</w:t>
      </w:r>
    </w:p>
    <w:p>
      <w:pPr>
        <w:pStyle w:val="Heading3"/>
      </w:pPr>
      <w:r>
        <w:t>3.2.2 Threshold Calibration</w:t>
      </w:r>
    </w:p>
    <w:p>
      <w:pPr>
        <w:pStyle w:val="Normal"/>
      </w:pPr>
      <w:r>
        <w:t xml:space="preserve">500 no-fire frames and 500 fire frames were randomly sampled from the held-out data to compute per-frame anomaly scores and calibrate the detection threshold using Youden's J statistic (maximizing TPR − FPR on the ROC curve).</w:t>
      </w:r>
    </w:p>
    <w:p>
      <w:pPr>
        <w:pStyle w:val="Heading3"/>
      </w:pPr>
      <w:r>
        <w:t>3.2.3 YOLO Dataset Construction</w:t>
      </w:r>
    </w:p>
    <w:tbl>
      <w:tblPr>
        <w:tblW w:w="5000" w:type="pct"/>
        <w:tblBorders>
          <w:top w:val="single" w:color="1a365d" w:sz="12"/>
          <w:left w:val="nil"/>
          <w:bottom w:val="single" w:color="1a365d" w:sz="12"/>
          <w:right w:val="nil"/>
          <w:insideH w:val="single" w:color="e2e8f0" w:sz="4"/>
          <w:insideV w:val="nil"/>
        </w:tblBorders>
      </w:tblPr>
      <w:tblGrid>
        <w:gridCol w:w="1800"/>
        <w:gridCol w:w="1800"/>
        <w:gridCol w:w="1800"/>
        <w:gridCol w:w="1800"/>
        <w:gridCol w:w="1800"/>
      </w:tblGrid>
      <w:tr>
        <w:trPr>
          <w:tblHeader/>
        </w:trPr>
        <w:tc>
          <w:tcPr>
            <w:tcW w:w="1800" w:type="dxa"/>
            <w:shd w:val="clear" w:fill="edf2f7"/>
            <w:vAlign w:val="center"/>
          </w:tcPr>
          <w:p>
            <w:pPr>
              <w:spacing w:before="60" w:after="60"/>
              <w:jc w:val="center"/>
            </w:pPr>
            <w:r>
              <w:rPr>
                <w:b/>
                <w:color w:val="1a202c"/>
                <w:sz w:val="20"/>
              </w:rPr>
              <w:t>Split</w:t>
            </w:r>
          </w:p>
        </w:tc>
        <w:tc>
          <w:tcPr>
            <w:tcW w:w="1800" w:type="dxa"/>
            <w:shd w:val="clear" w:fill="edf2f7"/>
            <w:vAlign w:val="center"/>
          </w:tcPr>
          <w:p>
            <w:pPr>
              <w:spacing w:before="60" w:after="60"/>
              <w:jc w:val="center"/>
            </w:pPr>
            <w:r>
              <w:rPr>
                <w:b/>
                <w:color w:val="1a202c"/>
                <w:sz w:val="20"/>
              </w:rPr>
              <w:t>Total Frames</w:t>
            </w:r>
          </w:p>
        </w:tc>
        <w:tc>
          <w:tcPr>
            <w:tcW w:w="1800" w:type="dxa"/>
            <w:shd w:val="clear" w:fill="edf2f7"/>
            <w:vAlign w:val="center"/>
          </w:tcPr>
          <w:p>
            <w:pPr>
              <w:spacing w:before="60" w:after="60"/>
              <w:jc w:val="center"/>
            </w:pPr>
            <w:r>
              <w:rPr>
                <w:b/>
                <w:color w:val="1a202c"/>
                <w:sz w:val="20"/>
              </w:rPr>
              <w:t>Fire Frames</w:t>
            </w:r>
          </w:p>
        </w:tc>
        <w:tc>
          <w:tcPr>
            <w:tcW w:w="1800" w:type="dxa"/>
            <w:shd w:val="clear" w:fill="edf2f7"/>
            <w:vAlign w:val="center"/>
          </w:tcPr>
          <w:p>
            <w:pPr>
              <w:spacing w:before="60" w:after="60"/>
              <w:jc w:val="center"/>
            </w:pPr>
            <w:r>
              <w:rPr>
                <w:b/>
                <w:color w:val="1a202c"/>
                <w:sz w:val="20"/>
              </w:rPr>
              <w:t>No-Fire Frames</w:t>
            </w:r>
          </w:p>
        </w:tc>
        <w:tc>
          <w:tcPr>
            <w:tcW w:w="1800" w:type="dxa"/>
            <w:shd w:val="clear" w:fill="edf2f7"/>
            <w:vAlign w:val="center"/>
          </w:tcPr>
          <w:p>
            <w:pPr>
              <w:spacing w:before="60" w:after="60"/>
              <w:jc w:val="center"/>
            </w:pPr>
            <w:r>
              <w:rPr>
                <w:b/>
                <w:color w:val="1a202c"/>
                <w:sz w:val="20"/>
              </w:rPr>
              <w:t>Fire Boxes</w:t>
            </w:r>
          </w:p>
        </w:tc>
      </w:tr>
      <w:tr>
        <w:tc>
          <w:tcPr>
            <w:tcW w:w="1800" w:type="dxa"/>
            <w:vAlign w:val="center"/>
          </w:tcPr>
          <w:p>
            <w:pPr>
              <w:spacing w:before="40" w:after="40"/>
              <w:jc w:val="center"/>
            </w:pPr>
            <w:r>
              <w:rPr>
                <w:color w:val="4a5568"/>
                <w:sz w:val="20"/>
              </w:rPr>
              <w:t xml:space="preserve">YOLO Train</w:t>
            </w:r>
          </w:p>
        </w:tc>
        <w:tc>
          <w:tcPr>
            <w:tcW w:w="1800" w:type="dxa"/>
            <w:vAlign w:val="center"/>
          </w:tcPr>
          <w:p>
            <w:pPr>
              <w:spacing w:before="40" w:after="40"/>
              <w:jc w:val="center"/>
            </w:pPr>
            <w:r>
              <w:rPr>
                <w:color w:val="4a5568"/>
                <w:sz w:val="20"/>
              </w:rPr>
              <w:t xml:space="preserve">38,901</w:t>
            </w:r>
          </w:p>
        </w:tc>
        <w:tc>
          <w:tcPr>
            <w:tcW w:w="1800" w:type="dxa"/>
            <w:vAlign w:val="center"/>
          </w:tcPr>
          <w:p>
            <w:pPr>
              <w:spacing w:before="40" w:after="40"/>
              <w:jc w:val="center"/>
            </w:pPr>
            <w:r>
              <w:rPr>
                <w:color w:val="4a5568"/>
                <w:sz w:val="20"/>
              </w:rPr>
              <w:t xml:space="preserve">27,941</w:t>
            </w:r>
          </w:p>
        </w:tc>
        <w:tc>
          <w:tcPr>
            <w:tcW w:w="1800" w:type="dxa"/>
            <w:vAlign w:val="center"/>
          </w:tcPr>
          <w:p>
            <w:pPr>
              <w:spacing w:before="40" w:after="40"/>
              <w:jc w:val="center"/>
            </w:pPr>
            <w:r>
              <w:rPr>
                <w:color w:val="4a5568"/>
                <w:sz w:val="20"/>
              </w:rPr>
              <w:t xml:space="preserve">10,960</w:t>
            </w:r>
          </w:p>
        </w:tc>
        <w:tc>
          <w:tcPr>
            <w:tcW w:w="1800" w:type="dxa"/>
            <w:vAlign w:val="center"/>
          </w:tcPr>
          <w:p>
            <w:pPr>
              <w:spacing w:before="40" w:after="40"/>
              <w:jc w:val="center"/>
            </w:pPr>
            <w:r>
              <w:rPr>
                <w:color w:val="4a5568"/>
                <w:sz w:val="20"/>
              </w:rPr>
              <w:t xml:space="preserve">150,018</w:t>
            </w:r>
          </w:p>
        </w:tc>
      </w:tr>
      <w:tr>
        <w:tc>
          <w:tcPr>
            <w:tcW w:w="1800" w:type="dxa"/>
            <w:vAlign w:val="center"/>
          </w:tcPr>
          <w:p>
            <w:pPr>
              <w:spacing w:before="40" w:after="40"/>
              <w:jc w:val="center"/>
            </w:pPr>
            <w:r>
              <w:rPr>
                <w:color w:val="4a5568"/>
                <w:sz w:val="20"/>
              </w:rPr>
              <w:t xml:space="preserve">YOLO Validation</w:t>
            </w:r>
          </w:p>
        </w:tc>
        <w:tc>
          <w:tcPr>
            <w:tcW w:w="1800" w:type="dxa"/>
            <w:vAlign w:val="center"/>
          </w:tcPr>
          <w:p>
            <w:pPr>
              <w:spacing w:before="40" w:after="40"/>
              <w:jc w:val="center"/>
            </w:pPr>
            <w:r>
              <w:rPr>
                <w:color w:val="4a5568"/>
                <w:sz w:val="20"/>
              </w:rPr>
              <w:t xml:space="preserve">14,550</w:t>
            </w:r>
          </w:p>
        </w:tc>
        <w:tc>
          <w:tcPr>
            <w:tcW w:w="1800" w:type="dxa"/>
            <w:vAlign w:val="center"/>
          </w:tcPr>
          <w:p>
            <w:pPr>
              <w:spacing w:before="40" w:after="40"/>
              <w:jc w:val="center"/>
            </w:pPr>
            <w:r>
              <w:rPr>
                <w:color w:val="4a5568"/>
                <w:sz w:val="20"/>
              </w:rPr>
              <w:t xml:space="preserve">11,810</w:t>
            </w:r>
          </w:p>
        </w:tc>
        <w:tc>
          <w:tcPr>
            <w:tcW w:w="1800" w:type="dxa"/>
            <w:vAlign w:val="center"/>
          </w:tcPr>
          <w:p>
            <w:pPr>
              <w:spacing w:before="40" w:after="40"/>
              <w:jc w:val="center"/>
            </w:pPr>
            <w:r>
              <w:rPr>
                <w:color w:val="4a5568"/>
                <w:sz w:val="20"/>
              </w:rPr>
              <w:t xml:space="preserve">2,740</w:t>
            </w:r>
          </w:p>
        </w:tc>
        <w:tc>
          <w:tcPr>
            <w:tcW w:w="1800" w:type="dxa"/>
            <w:vAlign w:val="center"/>
          </w:tcPr>
          <w:p>
            <w:pPr>
              <w:spacing w:before="40" w:after="40"/>
              <w:jc w:val="center"/>
            </w:pPr>
            <w:r>
              <w:rPr>
                <w:color w:val="4a5568"/>
                <w:sz w:val="20"/>
              </w:rPr>
              <w:t xml:space="preserve">47,218</w:t>
            </w:r>
          </w:p>
        </w:tc>
      </w:tr>
    </w:tbl>
    <w:p>
      <w:pPr>
        <w:pStyle w:val="Heading1"/>
      </w:pPr>
      <w:r>
        <w:t xml:space="preserve">  Chapter Four: Methodology</w:t>
      </w:r>
      <w:bookmarkStart w:name="_Toc005" w:id="5"/>
      <w:bookmarkEnd w:id="5"/>
    </w:p>
    <w:p>
      <w:pPr>
        <w:pStyle w:val="Heading2"/>
      </w:pPr>
      <w:r>
        <w:t>4.1 System Architecture Overview</w:t>
      </w:r>
    </w:p>
    <w:p>
      <w:pPr>
        <w:pStyle w:val="Normal"/>
      </w:pPr>
      <w:r>
        <w:t xml:space="preserve">The AI-FireGuard pipeline consists of three main stages: (1) Unsupervised Anomaly Detection using a Convolutional Autoencoder trained on no-fire thermal IR frames; (2) Pseudo-Label Generation by extracting bounding boxes from per-pixel reconstruction error maps; and (3) Supervised Object Detection using a YOLOv11s detector trained on the pseudo-labeled dataset. This architecture enables the full system to be trained without any manually annotated fire bounding boxes.</w:t>
      </w:r>
    </w:p>
    <w:p>
      <w:pPr>
        <w:keepNext/>
        <w:spacing w:before="200" w:after="80"/>
        <w:jc w:val="center"/>
      </w:pPr>
      <w:r>
        <w:drawing>
          <wp:inline distT="0" distB="0" distL="0" distR="0">
            <wp:extent cx="5400000" cy="3085714"/>
            <wp:effectExtent l="0" t="0" r="0" b="0"/>
            <wp:docPr id="2" name="System Architecture"/>
            <wp:cNvGraphicFramePr>
              <a:graphicFrameLocks noChangeAspect="1"/>
            </wp:cNvGraphicFramePr>
            <a:graphic>
              <a:graphicData uri="http://schemas.openxmlformats.org/drawingml/2006/picture">
                <pic:pic>
                  <pic:nvPicPr>
                    <pic:cNvPr id="0" name="System Architecture.png"/>
                    <pic:cNvPicPr/>
                  </pic:nvPicPr>
                  <pic:blipFill>
                    <a:blip r:embed="Ra336723f884a44c4"/>
                    <a:stretch>
                      <a:fillRect/>
                    </a:stretch>
                  </pic:blipFill>
                  <pic:spPr>
                    <a:xfrm>
                      <a:off x="0" y="0"/>
                      <a:ext cx="5400000" cy="3085714"/>
                    </a:xfrm>
                    <a:prstGeom prst="rect"/>
                  </pic:spPr>
                </pic:pic>
              </a:graphicData>
            </a:graphic>
          </wp:inline>
        </w:drawing>
      </w:r>
    </w:p>
    <w:p>
      <w:pPr>
        <w:pStyle w:val="Caption"/>
      </w:pPr>
      <w:r>
        <w:t>Figure 1: AI-FireGuard System Architecture Pipeline</w:t>
      </w:r>
    </w:p>
    <w:p>
      <w:pPr>
        <w:pStyle w:val="Heading2"/>
      </w:pPr>
      <w:r>
        <w:t>4.2 Stage 1: Convolutional Autoencoder</w:t>
      </w:r>
    </w:p>
    <w:p>
      <w:pPr>
        <w:pStyle w:val="Heading3"/>
      </w:pPr>
      <w:r>
        <w:t>4.2.1 Architecture</w:t>
      </w:r>
    </w:p>
    <w:p>
      <w:pPr>
        <w:pStyle w:val="Normal"/>
      </w:pPr>
      <w:r>
        <w:t xml:space="preserve">The autoencoder is a convolutional encoder–decoder network operating on 256×256 three-channel thermal IR images. The encoder progressively compresses the input from 256×256×3 to a 16×16×256 bottleneck representation through four strided convolutional downsampling stages, each followed by a batch-normalized LeakyReLU block. The decoder symmetrically reconstructs the input resolution through four bilinear upsampling stages. The final layer uses a sigmoid activation to constrain the output to the [0,1] pixel range, matching the target reconstruction domain.</w:t>
      </w:r>
    </w:p>
    <w:p>
      <w:pPr>
        <w:pStyle w:val="Normal"/>
      </w:pPr>
      <w:r>
        <w:t xml:space="preserve">Skip connections are deliberately excluded from the architecture. Their inclusion would allow the decoder to bypass the bottleneck by copying encoder features directly, reducing the reconstruction error for anomalous (fire) regions and degrading anomaly detection performance. The tight bottleneck forces the model to compress only what is statistically common across all no-fire training frames.</w:t>
      </w:r>
    </w:p>
    <w:p>
      <w:pPr>
        <w:keepNext/>
        <w:spacing w:before="200" w:after="80"/>
        <w:jc w:val="center"/>
      </w:pPr>
      <w:r>
        <w:drawing>
          <wp:inline distT="0" distB="0" distL="0" distR="0">
            <wp:extent cx="5400000" cy="3085714"/>
            <wp:effectExtent l="0" t="0" r="0" b="0"/>
            <wp:docPr id="3" name="Autoencoder Architecture"/>
            <wp:cNvGraphicFramePr>
              <a:graphicFrameLocks noChangeAspect="1"/>
            </wp:cNvGraphicFramePr>
            <a:graphic>
              <a:graphicData uri="http://schemas.openxmlformats.org/drawingml/2006/picture">
                <pic:pic>
                  <pic:nvPicPr>
                    <pic:cNvPr id="0" name="Autoencoder Architecture.png"/>
                    <pic:cNvPicPr/>
                  </pic:nvPicPr>
                  <pic:blipFill>
                    <a:blip r:embed="R6477c89866144cd8"/>
                    <a:stretch>
                      <a:fillRect/>
                    </a:stretch>
                  </pic:blipFill>
                  <pic:spPr>
                    <a:xfrm>
                      <a:off x="0" y="0"/>
                      <a:ext cx="5400000" cy="3085714"/>
                    </a:xfrm>
                    <a:prstGeom prst="rect"/>
                  </pic:spPr>
                </pic:pic>
              </a:graphicData>
            </a:graphic>
          </wp:inline>
        </w:drawing>
      </w:r>
    </w:p>
    <w:p>
      <w:pPr>
        <w:pStyle w:val="Caption"/>
      </w:pPr>
      <w:r>
        <w:t>Figure 2: Convolutional Autoencoder Architecture Diagram</w:t>
      </w:r>
    </w:p>
    <w:p>
      <w:pPr>
        <w:pStyle w:val="Heading3"/>
      </w:pPr>
      <w:r>
        <w:t>4.2.2 Loss Function</w:t>
      </w:r>
    </w:p>
    <w:p>
      <w:pPr>
        <w:pStyle w:val="Normal"/>
      </w:pPr>
      <w:r>
        <w:t xml:space="preserve">The training loss combines Mean Squared Error (MSE) and a Gradient Difference Loss (GDL) term:</w:t>
      </w:r>
    </w:p>
    <w:p>
      <w:pPr>
        <w:spacing w:before="200" w:after="200"/>
        <w:jc w:val="center"/>
      </w:pPr>
      <w:r>
        <w:rPr>
          <w:b/>
          <w:i/>
          <w:color w:val="319795"/>
          <w:sz w:val="24"/>
        </w:rPr>
        <w:t>L = MSE(recon, target) + 0.1 × GDL(recon, target)</w:t>
      </w:r>
    </w:p>
    <w:p>
      <w:pPr>
        <w:pStyle w:val="Normal"/>
      </w:pPr>
      <w:r>
        <w:t xml:space="preserve">The GDL penalizes differences in spatial image gradients between the reconstruction and target, encouraging the model to recover global structural patterns while avoiding overfitting to fine pixel-level noise.</w:t>
      </w:r>
    </w:p>
    <w:p>
      <w:pPr>
        <w:pStyle w:val="Heading3"/>
      </w:pPr>
      <w:r>
        <w:t>4.2.3 Training Configuration</w:t>
      </w:r>
    </w:p>
    <w:tbl>
      <w:tblPr>
        <w:tblW w:w="5000" w:type="pct"/>
        <w:tblBorders>
          <w:top w:val="single" w:color="1a365d" w:sz="12"/>
          <w:left w:val="nil"/>
          <w:bottom w:val="single" w:color="1a365d" w:sz="12"/>
          <w:right w:val="nil"/>
          <w:insideH w:val="single" w:color="e2e8f0" w:sz="4"/>
          <w:insideV w:val="nil"/>
        </w:tblBorders>
      </w:tblPr>
      <w:tblGrid>
        <w:gridCol w:w="4500"/>
        <w:gridCol w:w="4500"/>
      </w:tblGrid>
      <w:tr>
        <w:trPr>
          <w:tblHeader/>
        </w:trPr>
        <w:tc>
          <w:tcPr>
            <w:tcW w:w="4500" w:type="dxa"/>
            <w:shd w:val="clear" w:fill="edf2f7"/>
            <w:vAlign w:val="center"/>
          </w:tcPr>
          <w:p>
            <w:pPr>
              <w:spacing w:before="60" w:after="60"/>
              <w:jc w:val="center"/>
            </w:pPr>
            <w:r>
              <w:rPr>
                <w:b/>
                <w:color w:val="1a202c"/>
                <w:sz w:val="20"/>
              </w:rPr>
              <w:t>Hyperparameter</w:t>
            </w:r>
          </w:p>
        </w:tc>
        <w:tc>
          <w:tcPr>
            <w:tcW w:w="4500" w:type="dxa"/>
            <w:shd w:val="clear" w:fill="edf2f7"/>
            <w:vAlign w:val="center"/>
          </w:tcPr>
          <w:p>
            <w:pPr>
              <w:spacing w:before="60" w:after="60"/>
              <w:jc w:val="center"/>
            </w:pPr>
            <w:r>
              <w:rPr>
                <w:b/>
                <w:color w:val="1a202c"/>
                <w:sz w:val="20"/>
              </w:rPr>
              <w:t>Value</w:t>
            </w:r>
          </w:p>
        </w:tc>
      </w:tr>
      <w:tr>
        <w:tc>
          <w:tcPr>
            <w:tcW w:w="4500" w:type="dxa"/>
            <w:vAlign w:val="center"/>
          </w:tcPr>
          <w:p>
            <w:pPr>
              <w:spacing w:before="40" w:after="40"/>
              <w:jc w:val="center"/>
            </w:pPr>
            <w:r>
              <w:rPr>
                <w:color w:val="4a5568"/>
                <w:sz w:val="20"/>
              </w:rPr>
              <w:t xml:space="preserve">Image size</w:t>
            </w:r>
          </w:p>
        </w:tc>
        <w:tc>
          <w:tcPr>
            <w:tcW w:w="4500" w:type="dxa"/>
            <w:vAlign w:val="center"/>
          </w:tcPr>
          <w:p>
            <w:pPr>
              <w:spacing w:before="40" w:after="40"/>
              <w:jc w:val="center"/>
            </w:pPr>
            <w:r>
              <w:rPr>
                <w:color w:val="4a5568"/>
                <w:sz w:val="20"/>
              </w:rPr>
              <w:t xml:space="preserve">256 × 256</w:t>
            </w:r>
          </w:p>
        </w:tc>
      </w:tr>
      <w:tr>
        <w:tc>
          <w:tcPr>
            <w:tcW w:w="4500" w:type="dxa"/>
            <w:vAlign w:val="center"/>
          </w:tcPr>
          <w:p>
            <w:pPr>
              <w:spacing w:before="40" w:after="40"/>
              <w:jc w:val="center"/>
            </w:pPr>
            <w:r>
              <w:rPr>
                <w:color w:val="4a5568"/>
                <w:sz w:val="20"/>
              </w:rPr>
              <w:t xml:space="preserve">Batch size</w:t>
            </w:r>
          </w:p>
        </w:tc>
        <w:tc>
          <w:tcPr>
            <w:tcW w:w="4500" w:type="dxa"/>
            <w:vAlign w:val="center"/>
          </w:tcPr>
          <w:p>
            <w:pPr>
              <w:spacing w:before="40" w:after="40"/>
              <w:jc w:val="center"/>
            </w:pPr>
            <w:r>
              <w:rPr>
                <w:color w:val="4a5568"/>
                <w:sz w:val="20"/>
              </w:rPr>
              <w:t xml:space="preserve">32</w:t>
            </w:r>
          </w:p>
        </w:tc>
      </w:tr>
      <w:tr>
        <w:tc>
          <w:tcPr>
            <w:tcW w:w="4500" w:type="dxa"/>
            <w:vAlign w:val="center"/>
          </w:tcPr>
          <w:p>
            <w:pPr>
              <w:spacing w:before="40" w:after="40"/>
              <w:jc w:val="center"/>
            </w:pPr>
            <w:r>
              <w:rPr>
                <w:color w:val="4a5568"/>
                <w:sz w:val="20"/>
              </w:rPr>
              <w:t xml:space="preserve">Optimizer</w:t>
            </w:r>
          </w:p>
        </w:tc>
        <w:tc>
          <w:tcPr>
            <w:tcW w:w="4500" w:type="dxa"/>
            <w:vAlign w:val="center"/>
          </w:tcPr>
          <w:p>
            <w:pPr>
              <w:spacing w:before="40" w:after="40"/>
              <w:jc w:val="center"/>
            </w:pPr>
            <w:r>
              <w:rPr>
                <w:color w:val="4a5568"/>
                <w:sz w:val="20"/>
              </w:rPr>
              <w:t xml:space="preserve">AdamW (lr=1e-3, weight_decay=1e-4)</w:t>
            </w:r>
          </w:p>
        </w:tc>
      </w:tr>
      <w:tr>
        <w:tc>
          <w:tcPr>
            <w:tcW w:w="4500" w:type="dxa"/>
            <w:vAlign w:val="center"/>
          </w:tcPr>
          <w:p>
            <w:pPr>
              <w:spacing w:before="40" w:after="40"/>
              <w:jc w:val="center"/>
            </w:pPr>
            <w:r>
              <w:rPr>
                <w:color w:val="4a5568"/>
                <w:sz w:val="20"/>
              </w:rPr>
              <w:t xml:space="preserve">LR Scheduler</w:t>
            </w:r>
          </w:p>
        </w:tc>
        <w:tc>
          <w:tcPr>
            <w:tcW w:w="4500" w:type="dxa"/>
            <w:vAlign w:val="center"/>
          </w:tcPr>
          <w:p>
            <w:pPr>
              <w:spacing w:before="40" w:after="40"/>
              <w:jc w:val="center"/>
            </w:pPr>
            <w:r>
              <w:rPr>
                <w:color w:val="4a5568"/>
                <w:sz w:val="20"/>
              </w:rPr>
              <w:t xml:space="preserve">ReduceLROnPlateau (patience=3, factor=0.5)</w:t>
            </w:r>
          </w:p>
        </w:tc>
      </w:tr>
      <w:tr>
        <w:tc>
          <w:tcPr>
            <w:tcW w:w="4500" w:type="dxa"/>
            <w:vAlign w:val="center"/>
          </w:tcPr>
          <w:p>
            <w:pPr>
              <w:spacing w:before="40" w:after="40"/>
              <w:jc w:val="center"/>
            </w:pPr>
            <w:r>
              <w:rPr>
                <w:color w:val="4a5568"/>
                <w:sz w:val="20"/>
              </w:rPr>
              <w:t xml:space="preserve">Max epochs</w:t>
            </w:r>
          </w:p>
        </w:tc>
        <w:tc>
          <w:tcPr>
            <w:tcW w:w="4500" w:type="dxa"/>
            <w:vAlign w:val="center"/>
          </w:tcPr>
          <w:p>
            <w:pPr>
              <w:spacing w:before="40" w:after="40"/>
              <w:jc w:val="center"/>
            </w:pPr>
            <w:r>
              <w:rPr>
                <w:color w:val="4a5568"/>
                <w:sz w:val="20"/>
              </w:rPr>
              <w:t xml:space="preserve">40</w:t>
            </w:r>
          </w:p>
        </w:tc>
      </w:tr>
      <w:tr>
        <w:tc>
          <w:tcPr>
            <w:tcW w:w="4500" w:type="dxa"/>
            <w:vAlign w:val="center"/>
          </w:tcPr>
          <w:p>
            <w:pPr>
              <w:spacing w:before="40" w:after="40"/>
              <w:jc w:val="center"/>
            </w:pPr>
            <w:r>
              <w:rPr>
                <w:color w:val="4a5568"/>
                <w:sz w:val="20"/>
              </w:rPr>
              <w:t xml:space="preserve">Early stopping patience</w:t>
            </w:r>
          </w:p>
        </w:tc>
        <w:tc>
          <w:tcPr>
            <w:tcW w:w="4500" w:type="dxa"/>
            <w:vAlign w:val="center"/>
          </w:tcPr>
          <w:p>
            <w:pPr>
              <w:spacing w:before="40" w:after="40"/>
              <w:jc w:val="center"/>
            </w:pPr>
            <w:r>
              <w:rPr>
                <w:color w:val="4a5568"/>
                <w:sz w:val="20"/>
              </w:rPr>
              <w:t xml:space="preserve">8 (val reconstruction loss)</w:t>
            </w:r>
          </w:p>
        </w:tc>
      </w:tr>
      <w:tr>
        <w:tc>
          <w:tcPr>
            <w:tcW w:w="4500" w:type="dxa"/>
            <w:vAlign w:val="center"/>
          </w:tcPr>
          <w:p>
            <w:pPr>
              <w:spacing w:before="40" w:after="40"/>
              <w:jc w:val="center"/>
            </w:pPr>
            <w:r>
              <w:rPr>
                <w:color w:val="4a5568"/>
                <w:sz w:val="20"/>
              </w:rPr>
              <w:t xml:space="preserve">GPU</w:t>
            </w:r>
          </w:p>
        </w:tc>
        <w:tc>
          <w:tcPr>
            <w:tcW w:w="4500" w:type="dxa"/>
            <w:vAlign w:val="center"/>
          </w:tcPr>
          <w:p>
            <w:pPr>
              <w:spacing w:before="40" w:after="40"/>
              <w:jc w:val="center"/>
            </w:pPr>
            <w:r>
              <w:rPr>
                <w:color w:val="4a5568"/>
                <w:sz w:val="20"/>
              </w:rPr>
              <w:t xml:space="preserve">Tesla P100-PCIE-16GB (17.1 GB VRAM)</w:t>
            </w:r>
          </w:p>
        </w:tc>
      </w:tr>
      <w:tr>
        <w:tc>
          <w:tcPr>
            <w:tcW w:w="4500" w:type="dxa"/>
            <w:vAlign w:val="center"/>
          </w:tcPr>
          <w:p>
            <w:pPr>
              <w:spacing w:before="40" w:after="40"/>
              <w:jc w:val="center"/>
            </w:pPr>
            <w:r>
              <w:rPr>
                <w:color w:val="4a5568"/>
                <w:sz w:val="20"/>
              </w:rPr>
              <w:t xml:space="preserve">Training frames</w:t>
            </w:r>
          </w:p>
        </w:tc>
        <w:tc>
          <w:tcPr>
            <w:tcW w:w="4500" w:type="dxa"/>
            <w:vAlign w:val="center"/>
          </w:tcPr>
          <w:p>
            <w:pPr>
              <w:spacing w:before="40" w:after="40"/>
              <w:jc w:val="center"/>
            </w:pPr>
            <w:r>
              <w:rPr>
                <w:color w:val="4a5568"/>
                <w:sz w:val="20"/>
              </w:rPr>
              <w:t xml:space="preserve">11,645 no-fire IR frames</w:t>
            </w:r>
          </w:p>
        </w:tc>
      </w:tr>
      <w:tr>
        <w:tc>
          <w:tcPr>
            <w:tcW w:w="4500" w:type="dxa"/>
            <w:vAlign w:val="center"/>
          </w:tcPr>
          <w:p>
            <w:pPr>
              <w:spacing w:before="40" w:after="40"/>
              <w:jc w:val="center"/>
            </w:pPr>
            <w:r>
              <w:rPr>
                <w:color w:val="4a5568"/>
                <w:sz w:val="20"/>
              </w:rPr>
              <w:t xml:space="preserve">Validation frames</w:t>
            </w:r>
          </w:p>
        </w:tc>
        <w:tc>
          <w:tcPr>
            <w:tcW w:w="4500" w:type="dxa"/>
            <w:vAlign w:val="center"/>
          </w:tcPr>
          <w:p>
            <w:pPr>
              <w:spacing w:before="40" w:after="40"/>
              <w:jc w:val="center"/>
            </w:pPr>
            <w:r>
              <w:rPr>
                <w:color w:val="4a5568"/>
                <w:sz w:val="20"/>
              </w:rPr>
              <w:t xml:space="preserve">2,055 no-fire IR frames</w:t>
            </w:r>
          </w:p>
        </w:tc>
      </w:tr>
      <w:tr>
        <w:tc>
          <w:tcPr>
            <w:tcW w:w="4500" w:type="dxa"/>
            <w:vAlign w:val="center"/>
          </w:tcPr>
          <w:p>
            <w:pPr>
              <w:spacing w:before="40" w:after="40"/>
              <w:jc w:val="center"/>
            </w:pPr>
            <w:r>
              <w:rPr>
                <w:color w:val="4a5568"/>
                <w:sz w:val="20"/>
              </w:rPr>
              <w:t xml:space="preserve">Best epoch</w:t>
            </w:r>
          </w:p>
        </w:tc>
        <w:tc>
          <w:tcPr>
            <w:tcW w:w="4500" w:type="dxa"/>
            <w:vAlign w:val="center"/>
          </w:tcPr>
          <w:p>
            <w:pPr>
              <w:spacing w:before="40" w:after="40"/>
              <w:jc w:val="center"/>
            </w:pPr>
            <w:r>
              <w:rPr>
                <w:color w:val="4a5568"/>
                <w:sz w:val="20"/>
              </w:rPr>
              <w:t xml:space="preserve">39</w:t>
            </w:r>
          </w:p>
        </w:tc>
      </w:tr>
      <w:tr>
        <w:tc>
          <w:tcPr>
            <w:tcW w:w="4500" w:type="dxa"/>
            <w:vAlign w:val="center"/>
          </w:tcPr>
          <w:p>
            <w:pPr>
              <w:spacing w:before="40" w:after="40"/>
              <w:jc w:val="center"/>
            </w:pPr>
            <w:r>
              <w:rPr>
                <w:color w:val="4a5568"/>
                <w:sz w:val="20"/>
              </w:rPr>
              <w:t xml:space="preserve">Best val loss</w:t>
            </w:r>
          </w:p>
        </w:tc>
        <w:tc>
          <w:tcPr>
            <w:tcW w:w="4500" w:type="dxa"/>
            <w:vAlign w:val="center"/>
          </w:tcPr>
          <w:p>
            <w:pPr>
              <w:spacing w:before="40" w:after="40"/>
              <w:jc w:val="center"/>
            </w:pPr>
            <w:r>
              <w:rPr>
                <w:color w:val="4a5568"/>
                <w:sz w:val="20"/>
              </w:rPr>
              <w:t xml:space="preserve">0.002727</w:t>
            </w:r>
          </w:p>
        </w:tc>
      </w:tr>
    </w:tbl>
    <w:p>
      <w:pPr>
        <w:pStyle w:val="Heading3"/>
      </w:pPr>
      <w:r>
        <w:t>4.2.4 Augmentation</w:t>
      </w:r>
    </w:p>
    <w:p>
      <w:pPr>
        <w:pStyle w:val="Normal"/>
      </w:pPr>
      <w:r>
        <w:t xml:space="preserve">Training images are augmented with random horizontal flips (p=0.5), random vertical flips (p=0.3), mild color jitter (brightness/contrast ±0.15, saturation ±0.05), and Gaussian blur (σ ∈ [0.1, 0.5], kernel size 3). Augmentations are deliberately mild to avoid distorting the thermal signature, which carries the primary detection signal.</w:t>
      </w:r>
    </w:p>
    <w:p>
      <w:pPr>
        <w:pStyle w:val="Heading3"/>
      </w:pPr>
      <w:r>
        <w:t>4.2.5 Normalization</w:t>
      </w:r>
    </w:p>
    <w:p>
      <w:pPr>
        <w:pStyle w:val="Normal"/>
      </w:pPr>
      <w:r>
        <w:t xml:space="preserve">Per-channel mean and standard deviation statistics are computed from a random sample of 300 no-fire frames and used for input normalization. The computed statistics were: Mean = [0.6246, 0.2713, 0.1923], Std = [0.3811, 0.2996, 0.1741].</w:t>
      </w:r>
    </w:p>
    <w:p>
      <w:pPr>
        <w:pStyle w:val="Heading2"/>
      </w:pPr>
      <w:r>
        <w:t>4.3 Stage 2: Anomaly Scoring and Threshold Calibration</w:t>
      </w:r>
    </w:p>
    <w:p>
      <w:pPr>
        <w:pStyle w:val="Heading3"/>
      </w:pPr>
      <w:r>
        <w:t>4.3.1 Per-Frame Anomaly Score</w:t>
      </w:r>
    </w:p>
    <w:p>
      <w:pPr>
        <w:pStyle w:val="Normal"/>
      </w:pPr>
      <w:r>
        <w:t xml:space="preserve">For each input thermal frame, the autoencoder produces a per-pixel reconstruction error map. The frame-level anomaly score is the spatial mean of the error map. Fire frames, whose patterns lie outside the training distribution, yield anomaly scores significantly higher than no-fire frames.</w:t>
      </w:r>
    </w:p>
    <w:p>
      <w:pPr>
        <w:pStyle w:val="Heading3"/>
      </w:pPr>
      <w:r>
        <w:t>4.3.2 Threshold Calibration (Youden's J)</w:t>
      </w:r>
    </w:p>
    <w:p>
      <w:pPr>
        <w:pStyle w:val="Normal"/>
      </w:pPr>
      <w:r>
        <w:t xml:space="preserve">The optimal decision threshold is identified by computing the ROC curve on a balanced calibration set (500 no-fire + 500 fire frames) and selecting the point that maximizes Youden's J statistic (J = TPR − FPR). The resulting threshold was T = 0.008690.</w:t>
      </w:r>
    </w:p>
    <w:p>
      <w:pPr>
        <w:pStyle w:val="Heading3"/>
      </w:pPr>
      <w:r>
        <w:t>4.3.3 Calibration Results</w:t>
      </w:r>
    </w:p>
    <w:tbl>
      <w:tblPr>
        <w:tblW w:w="5000" w:type="pct"/>
        <w:tblBorders>
          <w:top w:val="single" w:color="1a365d" w:sz="12"/>
          <w:left w:val="nil"/>
          <w:bottom w:val="single" w:color="1a365d" w:sz="12"/>
          <w:right w:val="nil"/>
          <w:insideH w:val="single" w:color="e2e8f0" w:sz="4"/>
          <w:insideV w:val="nil"/>
        </w:tblBorders>
      </w:tblPr>
      <w:tblGrid>
        <w:gridCol w:w="4500"/>
        <w:gridCol w:w="4500"/>
      </w:tblGrid>
      <w:tr>
        <w:trPr>
          <w:tblHeader/>
        </w:trPr>
        <w:tc>
          <w:tcPr>
            <w:tcW w:w="4500" w:type="dxa"/>
            <w:shd w:val="clear" w:fill="edf2f7"/>
            <w:vAlign w:val="center"/>
          </w:tcPr>
          <w:p>
            <w:pPr>
              <w:spacing w:before="60" w:after="60"/>
              <w:jc w:val="center"/>
            </w:pPr>
            <w:r>
              <w:rPr>
                <w:b/>
                <w:color w:val="1a202c"/>
                <w:sz w:val="20"/>
              </w:rPr>
              <w:t>Metric</w:t>
            </w:r>
          </w:p>
        </w:tc>
        <w:tc>
          <w:tcPr>
            <w:tcW w:w="4500" w:type="dxa"/>
            <w:shd w:val="clear" w:fill="edf2f7"/>
            <w:vAlign w:val="center"/>
          </w:tcPr>
          <w:p>
            <w:pPr>
              <w:spacing w:before="60" w:after="60"/>
              <w:jc w:val="center"/>
            </w:pPr>
            <w:r>
              <w:rPr>
                <w:b/>
                <w:color w:val="1a202c"/>
                <w:sz w:val="20"/>
              </w:rPr>
              <w:t>Value</w:t>
            </w:r>
          </w:p>
        </w:tc>
      </w:tr>
      <w:tr>
        <w:tc>
          <w:tcPr>
            <w:tcW w:w="4500" w:type="dxa"/>
            <w:vAlign w:val="center"/>
          </w:tcPr>
          <w:p>
            <w:pPr>
              <w:spacing w:before="40" w:after="40"/>
              <w:jc w:val="center"/>
            </w:pPr>
            <w:r>
              <w:rPr>
                <w:color w:val="4a5568"/>
                <w:sz w:val="20"/>
              </w:rPr>
              <w:t xml:space="preserve">ROC AUC</w:t>
            </w:r>
          </w:p>
        </w:tc>
        <w:tc>
          <w:tcPr>
            <w:tcW w:w="4500" w:type="dxa"/>
            <w:vAlign w:val="center"/>
          </w:tcPr>
          <w:p>
            <w:pPr>
              <w:spacing w:before="40" w:after="40"/>
              <w:jc w:val="center"/>
            </w:pPr>
            <w:r>
              <w:rPr>
                <w:color w:val="4a5568"/>
                <w:sz w:val="20"/>
              </w:rPr>
              <w:t xml:space="preserve">0.9845</w:t>
            </w:r>
          </w:p>
        </w:tc>
      </w:tr>
      <w:tr>
        <w:tc>
          <w:tcPr>
            <w:tcW w:w="4500" w:type="dxa"/>
            <w:vAlign w:val="center"/>
          </w:tcPr>
          <w:p>
            <w:pPr>
              <w:spacing w:before="40" w:after="40"/>
              <w:jc w:val="center"/>
            </w:pPr>
            <w:r>
              <w:rPr>
                <w:color w:val="4a5568"/>
                <w:sz w:val="20"/>
              </w:rPr>
              <w:t xml:space="preserve">Average Precision (AP)</w:t>
            </w:r>
          </w:p>
        </w:tc>
        <w:tc>
          <w:tcPr>
            <w:tcW w:w="4500" w:type="dxa"/>
            <w:vAlign w:val="center"/>
          </w:tcPr>
          <w:p>
            <w:pPr>
              <w:spacing w:before="40" w:after="40"/>
              <w:jc w:val="center"/>
            </w:pPr>
            <w:r>
              <w:rPr>
                <w:color w:val="4a5568"/>
                <w:sz w:val="20"/>
              </w:rPr>
              <w:t xml:space="preserve">0.9884</w:t>
            </w:r>
          </w:p>
        </w:tc>
      </w:tr>
      <w:tr>
        <w:tc>
          <w:tcPr>
            <w:tcW w:w="4500" w:type="dxa"/>
            <w:vAlign w:val="center"/>
          </w:tcPr>
          <w:p>
            <w:pPr>
              <w:spacing w:before="40" w:after="40"/>
              <w:jc w:val="center"/>
            </w:pPr>
            <w:r>
              <w:rPr>
                <w:color w:val="4a5568"/>
                <w:sz w:val="20"/>
              </w:rPr>
              <w:t xml:space="preserve">F1 at threshold</w:t>
            </w:r>
          </w:p>
        </w:tc>
        <w:tc>
          <w:tcPr>
            <w:tcW w:w="4500" w:type="dxa"/>
            <w:vAlign w:val="center"/>
          </w:tcPr>
          <w:p>
            <w:pPr>
              <w:spacing w:before="40" w:after="40"/>
              <w:jc w:val="center"/>
            </w:pPr>
            <w:r>
              <w:rPr>
                <w:color w:val="4a5568"/>
                <w:sz w:val="20"/>
              </w:rPr>
              <w:t xml:space="preserve">0.9605</w:t>
            </w:r>
          </w:p>
        </w:tc>
      </w:tr>
      <w:tr>
        <w:tc>
          <w:tcPr>
            <w:tcW w:w="4500" w:type="dxa"/>
            <w:vAlign w:val="center"/>
          </w:tcPr>
          <w:p>
            <w:pPr>
              <w:spacing w:before="40" w:after="40"/>
              <w:jc w:val="center"/>
            </w:pPr>
            <w:r>
              <w:rPr>
                <w:color w:val="4a5568"/>
                <w:sz w:val="20"/>
              </w:rPr>
              <w:t xml:space="preserve">Precision at threshold</w:t>
            </w:r>
          </w:p>
        </w:tc>
        <w:tc>
          <w:tcPr>
            <w:tcW w:w="4500" w:type="dxa"/>
            <w:vAlign w:val="center"/>
          </w:tcPr>
          <w:p>
            <w:pPr>
              <w:spacing w:before="40" w:after="40"/>
              <w:jc w:val="center"/>
            </w:pPr>
            <w:r>
              <w:rPr>
                <w:color w:val="4a5568"/>
                <w:sz w:val="20"/>
              </w:rPr>
              <w:t xml:space="preserve">1.0000</w:t>
            </w:r>
          </w:p>
        </w:tc>
      </w:tr>
      <w:tr>
        <w:tc>
          <w:tcPr>
            <w:tcW w:w="4500" w:type="dxa"/>
            <w:vAlign w:val="center"/>
          </w:tcPr>
          <w:p>
            <w:pPr>
              <w:spacing w:before="40" w:after="40"/>
              <w:jc w:val="center"/>
            </w:pPr>
            <w:r>
              <w:rPr>
                <w:color w:val="4a5568"/>
                <w:sz w:val="20"/>
              </w:rPr>
              <w:t xml:space="preserve">Recall at threshold</w:t>
            </w:r>
          </w:p>
        </w:tc>
        <w:tc>
          <w:tcPr>
            <w:tcW w:w="4500" w:type="dxa"/>
            <w:vAlign w:val="center"/>
          </w:tcPr>
          <w:p>
            <w:pPr>
              <w:spacing w:before="40" w:after="40"/>
              <w:jc w:val="center"/>
            </w:pPr>
            <w:r>
              <w:rPr>
                <w:color w:val="4a5568"/>
                <w:sz w:val="20"/>
              </w:rPr>
              <w:t xml:space="preserve">0.9240</w:t>
            </w:r>
          </w:p>
        </w:tc>
      </w:tr>
      <w:tr>
        <w:tc>
          <w:tcPr>
            <w:tcW w:w="4500" w:type="dxa"/>
            <w:vAlign w:val="center"/>
          </w:tcPr>
          <w:p>
            <w:pPr>
              <w:spacing w:before="40" w:after="40"/>
              <w:jc w:val="center"/>
            </w:pPr>
            <w:r>
              <w:rPr>
                <w:color w:val="4a5568"/>
                <w:sz w:val="20"/>
              </w:rPr>
              <w:t xml:space="preserve">No-fire score mean ± std</w:t>
            </w:r>
          </w:p>
        </w:tc>
        <w:tc>
          <w:tcPr>
            <w:tcW w:w="4500" w:type="dxa"/>
            <w:vAlign w:val="center"/>
          </w:tcPr>
          <w:p>
            <w:pPr>
              <w:spacing w:before="40" w:after="40"/>
              <w:jc w:val="center"/>
            </w:pPr>
            <w:r>
              <w:rPr>
                <w:color w:val="4a5568"/>
                <w:sz w:val="20"/>
              </w:rPr>
              <w:t xml:space="preserve">0.002236 ± 0.001794</w:t>
            </w:r>
          </w:p>
        </w:tc>
      </w:tr>
      <w:tr>
        <w:tc>
          <w:tcPr>
            <w:tcW w:w="4500" w:type="dxa"/>
            <w:vAlign w:val="center"/>
          </w:tcPr>
          <w:p>
            <w:pPr>
              <w:spacing w:before="40" w:after="40"/>
              <w:jc w:val="center"/>
            </w:pPr>
            <w:r>
              <w:rPr>
                <w:color w:val="4a5568"/>
                <w:sz w:val="20"/>
              </w:rPr>
              <w:t xml:space="preserve">Fire score mean ± std</w:t>
            </w:r>
          </w:p>
        </w:tc>
        <w:tc>
          <w:tcPr>
            <w:tcW w:w="4500" w:type="dxa"/>
            <w:vAlign w:val="center"/>
          </w:tcPr>
          <w:p>
            <w:pPr>
              <w:spacing w:before="40" w:after="40"/>
              <w:jc w:val="center"/>
            </w:pPr>
            <w:r>
              <w:rPr>
                <w:color w:val="4a5568"/>
                <w:sz w:val="20"/>
              </w:rPr>
              <w:t xml:space="preserve">0.030010 ± 0.019868</w:t>
            </w:r>
          </w:p>
        </w:tc>
      </w:tr>
      <w:tr>
        <w:tc>
          <w:tcPr>
            <w:tcW w:w="4500" w:type="dxa"/>
            <w:vAlign w:val="center"/>
          </w:tcPr>
          <w:p>
            <w:pPr>
              <w:spacing w:before="40" w:after="40"/>
              <w:jc w:val="center"/>
            </w:pPr>
            <w:r>
              <w:rPr>
                <w:color w:val="4a5568"/>
                <w:sz w:val="20"/>
              </w:rPr>
              <w:t xml:space="preserve">Class separation ratio</w:t>
            </w:r>
          </w:p>
        </w:tc>
        <w:tc>
          <w:tcPr>
            <w:tcW w:w="4500" w:type="dxa"/>
            <w:vAlign w:val="center"/>
          </w:tcPr>
          <w:p>
            <w:pPr>
              <w:spacing w:before="40" w:after="40"/>
              <w:jc w:val="center"/>
            </w:pPr>
            <w:r>
              <w:rPr>
                <w:color w:val="4a5568"/>
                <w:sz w:val="20"/>
              </w:rPr>
              <w:t xml:space="preserve">13.42×</w:t>
            </w:r>
          </w:p>
        </w:tc>
      </w:tr>
    </w:tbl>
    <w:p>
      <w:pPr>
        <w:keepNext/>
        <w:spacing w:before="200" w:after="80"/>
        <w:jc w:val="center"/>
      </w:pPr>
      <w:r>
        <w:drawing>
          <wp:inline distT="0" distB="0" distL="0" distR="0">
            <wp:extent cx="5400000" cy="3085714"/>
            <wp:effectExtent l="0" t="0" r="0" b="0"/>
            <wp:docPr id="4" name="Anomaly Detection Results"/>
            <wp:cNvGraphicFramePr>
              <a:graphicFrameLocks noChangeAspect="1"/>
            </wp:cNvGraphicFramePr>
            <a:graphic>
              <a:graphicData uri="http://schemas.openxmlformats.org/drawingml/2006/picture">
                <pic:pic>
                  <pic:nvPicPr>
                    <pic:cNvPr id="0" name="Anomaly Detection Results.png"/>
                    <pic:cNvPicPr/>
                  </pic:nvPicPr>
                  <pic:blipFill>
                    <a:blip r:embed="R63a2d613d8aa4143"/>
                    <a:stretch>
                      <a:fillRect/>
                    </a:stretch>
                  </pic:blipFill>
                  <pic:spPr>
                    <a:xfrm>
                      <a:off x="0" y="0"/>
                      <a:ext cx="5400000" cy="3085714"/>
                    </a:xfrm>
                    <a:prstGeom prst="rect"/>
                  </pic:spPr>
                </pic:pic>
              </a:graphicData>
            </a:graphic>
          </wp:inline>
        </w:drawing>
      </w:r>
    </w:p>
    <w:p>
      <w:pPr>
        <w:pStyle w:val="Caption"/>
      </w:pPr>
      <w:r>
        <w:t>Figure 3: ROC Curve and Anomaly Score Distribution</w:t>
      </w:r>
    </w:p>
    <w:p>
      <w:pPr>
        <w:pStyle w:val="Heading2"/>
      </w:pPr>
      <w:r>
        <w:t>4.4 Stage 3: Bounding Box Extraction from Error Maps</w:t>
      </w:r>
    </w:p>
    <w:p>
      <w:pPr>
        <w:pStyle w:val="Normal"/>
      </w:pPr>
      <w:r>
        <w:t xml:space="preserve">For each fire-labeled frame, bounding boxes are extracted from the reconstruction error map using the following procedure:</w:t>
      </w:r>
    </w:p>
    <w:p>
      <w:pPr>
        <w:numPr>
          <w:ilvl w:val="0"/>
          <w:numId w:val="1"/>
        </w:numPr>
      </w:pPr>
      <w:r>
        <w:t xml:space="preserve">The error map is thresholded at the 99th, 97th, or 95th percentile (in order of preference, stopping at the first percentile that yields valid boxes).</w:t>
      </w:r>
    </w:p>
    <w:p>
      <w:pPr>
        <w:numPr>
          <w:ilvl w:val="0"/>
          <w:numId w:val="1"/>
        </w:numPr>
      </w:pPr>
      <w:r>
        <w:t xml:space="preserve">A morphological closing operation (7×7 elliptical kernel) is applied to fill gaps in the binary anomaly mask.</w:t>
      </w:r>
    </w:p>
    <w:p>
      <w:pPr>
        <w:numPr>
          <w:ilvl w:val="0"/>
          <w:numId w:val="1"/>
        </w:numPr>
      </w:pPr>
      <w:r>
        <w:t xml:space="preserve">Connected component contours are identified, and a bounding rectangle is computed for each contour.</w:t>
      </w:r>
    </w:p>
    <w:p>
      <w:pPr>
        <w:numPr>
          <w:ilvl w:val="0"/>
          <w:numId w:val="1"/>
        </w:numPr>
      </w:pPr>
      <w:r>
        <w:t xml:space="preserve">Boxes are rejected if their area is below 0.05% of the image area (noise filtering) or if they span more than 70% or less than 3% of the image width or height.</w:t>
      </w:r>
    </w:p>
    <w:p>
      <w:pPr>
        <w:numPr>
          <w:ilvl w:val="0"/>
          <w:numId w:val="1"/>
        </w:numPr>
      </w:pPr>
      <w:r>
        <w:t xml:space="preserve">Valid boxes are converted to YOLO format (normalized center x, center y, width, height).</w:t>
      </w:r>
    </w:p>
    <w:p>
      <w:pPr>
        <w:pStyle w:val="Normal"/>
      </w:pPr>
      <w:r>
        <w:t xml:space="preserve">This procedure produced 150,018 fire bounding boxes in the training split (averaging ~5.4 boxes per fire frame) and 47,218 boxes in the validation split.</w:t>
      </w:r>
    </w:p>
    <w:p>
      <w:pPr>
        <w:pStyle w:val="Heading2"/>
      </w:pPr>
      <w:r>
        <w:t>4.5 Stage 4: YOLOv11s Object Detector</w:t>
      </w:r>
    </w:p>
    <w:p>
      <w:pPr>
        <w:pStyle w:val="Heading3"/>
      </w:pPr>
      <w:r>
        <w:t>4.5.1 Model</w:t>
      </w:r>
    </w:p>
    <w:p>
      <w:pPr>
        <w:pStyle w:val="Normal"/>
      </w:pPr>
      <w:r>
        <w:t xml:space="preserve">YOLOv11s is a small-variant single-stage object detector from the Ultralytics YOLO11 family with 9,428,566 parameters and 21.6 GFLOPs. It uses a C3k2 backbone and C2PSA attention module for improved feature extraction. The model is initialized from COCO-pretrained weights and fine-tuned on the FLAME-2 pseudo-labeled dataset.</w:t>
      </w:r>
    </w:p>
    <w:p>
      <w:pPr>
        <w:pStyle w:val="Heading3"/>
      </w:pPr>
      <w:r>
        <w:t>4.5.2 Training Configuration</w:t>
      </w:r>
    </w:p>
    <w:tbl>
      <w:tblPr>
        <w:tblW w:w="5000" w:type="pct"/>
        <w:tblBorders>
          <w:top w:val="single" w:color="1a365d" w:sz="12"/>
          <w:left w:val="nil"/>
          <w:bottom w:val="single" w:color="1a365d" w:sz="12"/>
          <w:right w:val="nil"/>
          <w:insideH w:val="single" w:color="e2e8f0" w:sz="4"/>
          <w:insideV w:val="nil"/>
        </w:tblBorders>
      </w:tblPr>
      <w:tblGrid>
        <w:gridCol w:w="4500"/>
        <w:gridCol w:w="4500"/>
      </w:tblGrid>
      <w:tr>
        <w:trPr>
          <w:tblHeader/>
        </w:trPr>
        <w:tc>
          <w:tcPr>
            <w:tcW w:w="4500" w:type="dxa"/>
            <w:shd w:val="clear" w:fill="edf2f7"/>
            <w:vAlign w:val="center"/>
          </w:tcPr>
          <w:p>
            <w:pPr>
              <w:spacing w:before="60" w:after="60"/>
              <w:jc w:val="center"/>
            </w:pPr>
            <w:r>
              <w:rPr>
                <w:b/>
                <w:color w:val="1a202c"/>
                <w:sz w:val="20"/>
              </w:rPr>
              <w:t>Hyperparameter</w:t>
            </w:r>
          </w:p>
        </w:tc>
        <w:tc>
          <w:tcPr>
            <w:tcW w:w="4500" w:type="dxa"/>
            <w:shd w:val="clear" w:fill="edf2f7"/>
            <w:vAlign w:val="center"/>
          </w:tcPr>
          <w:p>
            <w:pPr>
              <w:spacing w:before="60" w:after="60"/>
              <w:jc w:val="center"/>
            </w:pPr>
            <w:r>
              <w:rPr>
                <w:b/>
                <w:color w:val="1a202c"/>
                <w:sz w:val="20"/>
              </w:rPr>
              <w:t>Value</w:t>
            </w:r>
          </w:p>
        </w:tc>
      </w:tr>
      <w:tr>
        <w:tc>
          <w:tcPr>
            <w:tcW w:w="4500" w:type="dxa"/>
            <w:vAlign w:val="center"/>
          </w:tcPr>
          <w:p>
            <w:pPr>
              <w:spacing w:before="40" w:after="40"/>
              <w:jc w:val="center"/>
            </w:pPr>
            <w:r>
              <w:rPr>
                <w:color w:val="4a5568"/>
                <w:sz w:val="20"/>
              </w:rPr>
              <w:t xml:space="preserve">Image size</w:t>
            </w:r>
          </w:p>
        </w:tc>
        <w:tc>
          <w:tcPr>
            <w:tcW w:w="4500" w:type="dxa"/>
            <w:vAlign w:val="center"/>
          </w:tcPr>
          <w:p>
            <w:pPr>
              <w:spacing w:before="40" w:after="40"/>
              <w:jc w:val="center"/>
            </w:pPr>
            <w:r>
              <w:rPr>
                <w:color w:val="4a5568"/>
                <w:sz w:val="20"/>
              </w:rPr>
              <w:t xml:space="preserve">256 × 256</w:t>
            </w:r>
          </w:p>
        </w:tc>
      </w:tr>
      <w:tr>
        <w:tc>
          <w:tcPr>
            <w:tcW w:w="4500" w:type="dxa"/>
            <w:vAlign w:val="center"/>
          </w:tcPr>
          <w:p>
            <w:pPr>
              <w:spacing w:before="40" w:after="40"/>
              <w:jc w:val="center"/>
            </w:pPr>
            <w:r>
              <w:rPr>
                <w:color w:val="4a5568"/>
                <w:sz w:val="20"/>
              </w:rPr>
              <w:t xml:space="preserve">Batch size</w:t>
            </w:r>
          </w:p>
        </w:tc>
        <w:tc>
          <w:tcPr>
            <w:tcW w:w="4500" w:type="dxa"/>
            <w:vAlign w:val="center"/>
          </w:tcPr>
          <w:p>
            <w:pPr>
              <w:spacing w:before="40" w:after="40"/>
              <w:jc w:val="center"/>
            </w:pPr>
            <w:r>
              <w:rPr>
                <w:color w:val="4a5568"/>
                <w:sz w:val="20"/>
              </w:rPr>
              <w:t xml:space="preserve">16</w:t>
            </w:r>
          </w:p>
        </w:tc>
      </w:tr>
      <w:tr>
        <w:tc>
          <w:tcPr>
            <w:tcW w:w="4500" w:type="dxa"/>
            <w:vAlign w:val="center"/>
          </w:tcPr>
          <w:p>
            <w:pPr>
              <w:spacing w:before="40" w:after="40"/>
              <w:jc w:val="center"/>
            </w:pPr>
            <w:r>
              <w:rPr>
                <w:color w:val="4a5568"/>
                <w:sz w:val="20"/>
              </w:rPr>
              <w:t xml:space="preserve">Epochs</w:t>
            </w:r>
          </w:p>
        </w:tc>
        <w:tc>
          <w:tcPr>
            <w:tcW w:w="4500" w:type="dxa"/>
            <w:vAlign w:val="center"/>
          </w:tcPr>
          <w:p>
            <w:pPr>
              <w:spacing w:before="40" w:after="40"/>
              <w:jc w:val="center"/>
            </w:pPr>
            <w:r>
              <w:rPr>
                <w:color w:val="4a5568"/>
                <w:sz w:val="20"/>
              </w:rPr>
              <w:t xml:space="preserve">100</w:t>
            </w:r>
          </w:p>
        </w:tc>
      </w:tr>
      <w:tr>
        <w:tc>
          <w:tcPr>
            <w:tcW w:w="4500" w:type="dxa"/>
            <w:vAlign w:val="center"/>
          </w:tcPr>
          <w:p>
            <w:pPr>
              <w:spacing w:before="40" w:after="40"/>
              <w:jc w:val="center"/>
            </w:pPr>
            <w:r>
              <w:rPr>
                <w:color w:val="4a5568"/>
                <w:sz w:val="20"/>
              </w:rPr>
              <w:t xml:space="preserve">Optimizer</w:t>
            </w:r>
          </w:p>
        </w:tc>
        <w:tc>
          <w:tcPr>
            <w:tcW w:w="4500" w:type="dxa"/>
            <w:vAlign w:val="center"/>
          </w:tcPr>
          <w:p>
            <w:pPr>
              <w:spacing w:before="40" w:after="40"/>
              <w:jc w:val="center"/>
            </w:pPr>
            <w:r>
              <w:rPr>
                <w:color w:val="4a5568"/>
                <w:sz w:val="20"/>
              </w:rPr>
              <w:t xml:space="preserve">AdamW (lr=0.001, lrf=0.01, momentum=0.937)</w:t>
            </w:r>
          </w:p>
        </w:tc>
      </w:tr>
      <w:tr>
        <w:tc>
          <w:tcPr>
            <w:tcW w:w="4500" w:type="dxa"/>
            <w:vAlign w:val="center"/>
          </w:tcPr>
          <w:p>
            <w:pPr>
              <w:spacing w:before="40" w:after="40"/>
              <w:jc w:val="center"/>
            </w:pPr>
            <w:r>
              <w:rPr>
                <w:color w:val="4a5568"/>
                <w:sz w:val="20"/>
              </w:rPr>
              <w:t xml:space="preserve">Warmup epochs</w:t>
            </w:r>
          </w:p>
        </w:tc>
        <w:tc>
          <w:tcPr>
            <w:tcW w:w="4500" w:type="dxa"/>
            <w:vAlign w:val="center"/>
          </w:tcPr>
          <w:p>
            <w:pPr>
              <w:spacing w:before="40" w:after="40"/>
              <w:jc w:val="center"/>
            </w:pPr>
            <w:r>
              <w:rPr>
                <w:color w:val="4a5568"/>
                <w:sz w:val="20"/>
              </w:rPr>
              <w:t xml:space="preserve">5</w:t>
            </w:r>
          </w:p>
        </w:tc>
      </w:tr>
      <w:tr>
        <w:tc>
          <w:tcPr>
            <w:tcW w:w="4500" w:type="dxa"/>
            <w:vAlign w:val="center"/>
          </w:tcPr>
          <w:p>
            <w:pPr>
              <w:spacing w:before="40" w:after="40"/>
              <w:jc w:val="center"/>
            </w:pPr>
            <w:r>
              <w:rPr>
                <w:color w:val="4a5568"/>
                <w:sz w:val="20"/>
              </w:rPr>
              <w:t xml:space="preserve">Box loss weight</w:t>
            </w:r>
          </w:p>
        </w:tc>
        <w:tc>
          <w:tcPr>
            <w:tcW w:w="4500" w:type="dxa"/>
            <w:vAlign w:val="center"/>
          </w:tcPr>
          <w:p>
            <w:pPr>
              <w:spacing w:before="40" w:after="40"/>
              <w:jc w:val="center"/>
            </w:pPr>
            <w:r>
              <w:rPr>
                <w:color w:val="4a5568"/>
                <w:sz w:val="20"/>
              </w:rPr>
              <w:t xml:space="preserve">5.0</w:t>
            </w:r>
          </w:p>
        </w:tc>
      </w:tr>
      <w:tr>
        <w:tc>
          <w:tcPr>
            <w:tcW w:w="4500" w:type="dxa"/>
            <w:vAlign w:val="center"/>
          </w:tcPr>
          <w:p>
            <w:pPr>
              <w:spacing w:before="40" w:after="40"/>
              <w:jc w:val="center"/>
            </w:pPr>
            <w:r>
              <w:rPr>
                <w:color w:val="4a5568"/>
                <w:sz w:val="20"/>
              </w:rPr>
              <w:t xml:space="preserve">Class loss weight</w:t>
            </w:r>
          </w:p>
        </w:tc>
        <w:tc>
          <w:tcPr>
            <w:tcW w:w="4500" w:type="dxa"/>
            <w:vAlign w:val="center"/>
          </w:tcPr>
          <w:p>
            <w:pPr>
              <w:spacing w:before="40" w:after="40"/>
              <w:jc w:val="center"/>
            </w:pPr>
            <w:r>
              <w:rPr>
                <w:color w:val="4a5568"/>
                <w:sz w:val="20"/>
              </w:rPr>
              <w:t xml:space="preserve">0.5</w:t>
            </w:r>
          </w:p>
        </w:tc>
      </w:tr>
      <w:tr>
        <w:tc>
          <w:tcPr>
            <w:tcW w:w="4500" w:type="dxa"/>
            <w:vAlign w:val="center"/>
          </w:tcPr>
          <w:p>
            <w:pPr>
              <w:spacing w:before="40" w:after="40"/>
              <w:jc w:val="center"/>
            </w:pPr>
            <w:r>
              <w:rPr>
                <w:color w:val="4a5568"/>
                <w:sz w:val="20"/>
              </w:rPr>
              <w:t xml:space="preserve">DFL loss weight</w:t>
            </w:r>
          </w:p>
        </w:tc>
        <w:tc>
          <w:tcPr>
            <w:tcW w:w="4500" w:type="dxa"/>
            <w:vAlign w:val="center"/>
          </w:tcPr>
          <w:p>
            <w:pPr>
              <w:spacing w:before="40" w:after="40"/>
              <w:jc w:val="center"/>
            </w:pPr>
            <w:r>
              <w:rPr>
                <w:color w:val="4a5568"/>
                <w:sz w:val="20"/>
              </w:rPr>
              <w:t xml:space="preserve">1.5</w:t>
            </w:r>
          </w:p>
        </w:tc>
      </w:tr>
      <w:tr>
        <w:tc>
          <w:tcPr>
            <w:tcW w:w="4500" w:type="dxa"/>
            <w:vAlign w:val="center"/>
          </w:tcPr>
          <w:p>
            <w:pPr>
              <w:spacing w:before="40" w:after="40"/>
              <w:jc w:val="center"/>
            </w:pPr>
            <w:r>
              <w:rPr>
                <w:color w:val="4a5568"/>
                <w:sz w:val="20"/>
              </w:rPr>
              <w:t xml:space="preserve">Dropout</w:t>
            </w:r>
          </w:p>
        </w:tc>
        <w:tc>
          <w:tcPr>
            <w:tcW w:w="4500" w:type="dxa"/>
            <w:vAlign w:val="center"/>
          </w:tcPr>
          <w:p>
            <w:pPr>
              <w:spacing w:before="40" w:after="40"/>
              <w:jc w:val="center"/>
            </w:pPr>
            <w:r>
              <w:rPr>
                <w:color w:val="4a5568"/>
                <w:sz w:val="20"/>
              </w:rPr>
              <w:t xml:space="preserve">0.1</w:t>
            </w:r>
          </w:p>
        </w:tc>
      </w:tr>
      <w:tr>
        <w:tc>
          <w:tcPr>
            <w:tcW w:w="4500" w:type="dxa"/>
            <w:vAlign w:val="center"/>
          </w:tcPr>
          <w:p>
            <w:pPr>
              <w:spacing w:before="40" w:after="40"/>
              <w:jc w:val="center"/>
            </w:pPr>
            <w:r>
              <w:rPr>
                <w:color w:val="4a5568"/>
                <w:sz w:val="20"/>
              </w:rPr>
              <w:t xml:space="preserve">Early stopping patience</w:t>
            </w:r>
          </w:p>
        </w:tc>
        <w:tc>
          <w:tcPr>
            <w:tcW w:w="4500" w:type="dxa"/>
            <w:vAlign w:val="center"/>
          </w:tcPr>
          <w:p>
            <w:pPr>
              <w:spacing w:before="40" w:after="40"/>
              <w:jc w:val="center"/>
            </w:pPr>
            <w:r>
              <w:rPr>
                <w:color w:val="4a5568"/>
                <w:sz w:val="20"/>
              </w:rPr>
              <w:t xml:space="preserve">15</w:t>
            </w:r>
          </w:p>
        </w:tc>
      </w:tr>
      <w:tr>
        <w:tc>
          <w:tcPr>
            <w:tcW w:w="4500" w:type="dxa"/>
            <w:vAlign w:val="center"/>
          </w:tcPr>
          <w:p>
            <w:pPr>
              <w:spacing w:before="40" w:after="40"/>
              <w:jc w:val="center"/>
            </w:pPr>
            <w:r>
              <w:rPr>
                <w:color w:val="4a5568"/>
                <w:sz w:val="20"/>
              </w:rPr>
              <w:t xml:space="preserve">Mosaic augmentation</w:t>
            </w:r>
          </w:p>
        </w:tc>
        <w:tc>
          <w:tcPr>
            <w:tcW w:w="4500" w:type="dxa"/>
            <w:vAlign w:val="center"/>
          </w:tcPr>
          <w:p>
            <w:pPr>
              <w:spacing w:before="40" w:after="40"/>
              <w:jc w:val="center"/>
            </w:pPr>
            <w:r>
              <w:rPr>
                <w:color w:val="4a5568"/>
                <w:sz w:val="20"/>
              </w:rPr>
              <w:t xml:space="preserve">0.5</w:t>
            </w:r>
          </w:p>
        </w:tc>
      </w:tr>
      <w:tr>
        <w:tc>
          <w:tcPr>
            <w:tcW w:w="4500" w:type="dxa"/>
            <w:vAlign w:val="center"/>
          </w:tcPr>
          <w:p>
            <w:pPr>
              <w:spacing w:before="40" w:after="40"/>
              <w:jc w:val="center"/>
            </w:pPr>
            <w:r>
              <w:rPr>
                <w:color w:val="4a5568"/>
                <w:sz w:val="20"/>
              </w:rPr>
              <w:t xml:space="preserve">GPU</w:t>
            </w:r>
          </w:p>
        </w:tc>
        <w:tc>
          <w:tcPr>
            <w:tcW w:w="4500" w:type="dxa"/>
            <w:vAlign w:val="center"/>
          </w:tcPr>
          <w:p>
            <w:pPr>
              <w:spacing w:before="40" w:after="40"/>
              <w:jc w:val="center"/>
            </w:pPr>
            <w:r>
              <w:rPr>
                <w:color w:val="4a5568"/>
                <w:sz w:val="20"/>
              </w:rPr>
              <w:t xml:space="preserve">Tesla P100-PCIE-16GB</w:t>
            </w:r>
          </w:p>
        </w:tc>
      </w:tr>
    </w:tbl>
    <w:p>
      <w:pPr>
        <w:pStyle w:val="Heading1"/>
      </w:pPr>
      <w:r>
        <w:t xml:space="preserve">  Chapter Five: Training and Evaluation Results</w:t>
      </w:r>
      <w:bookmarkStart w:name="_Toc006" w:id="6"/>
      <w:bookmarkEnd w:id="6"/>
    </w:p>
    <w:p>
      <w:pPr>
        <w:pStyle w:val="Heading2"/>
      </w:pPr>
      <w:r>
        <w:t>5.1 Autoencoder Training Results</w:t>
      </w:r>
    </w:p>
    <w:p>
      <w:pPr>
        <w:pStyle w:val="Heading3"/>
      </w:pPr>
      <w:r>
        <w:t>5.1.1 Training Convergence</w:t>
      </w:r>
    </w:p>
    <w:p>
      <w:pPr>
        <w:pStyle w:val="Normal"/>
      </w:pPr>
      <w:r>
        <w:t xml:space="preserve">The autoencoder converged smoothly over 40 epochs, with the best model saved at epoch 39 (val loss = 0.002727). The learning rate was reduced from 1e-3 to 5e-4 at epoch 37 by ReduceLROnPlateau, contributing to the final convergence to a low val/train loss ratio.</w:t>
      </w:r>
    </w:p>
    <w:tbl>
      <w:tblPr>
        <w:tblW w:w="5000" w:type="pct"/>
        <w:tblBorders>
          <w:top w:val="single" w:color="1a365d" w:sz="12"/>
          <w:left w:val="nil"/>
          <w:bottom w:val="single" w:color="1a365d" w:sz="12"/>
          <w:right w:val="nil"/>
          <w:insideH w:val="single" w:color="e2e8f0" w:sz="4"/>
          <w:insideV w:val="nil"/>
        </w:tblBorders>
      </w:tblPr>
      <w:tblGrid>
        <w:gridCol w:w="2250"/>
        <w:gridCol w:w="2250"/>
        <w:gridCol w:w="2250"/>
        <w:gridCol w:w="2250"/>
      </w:tblGrid>
      <w:tr>
        <w:trPr>
          <w:tblHeader/>
        </w:trPr>
        <w:tc>
          <w:tcPr>
            <w:tcW w:w="2250" w:type="dxa"/>
            <w:shd w:val="clear" w:fill="edf2f7"/>
            <w:vAlign w:val="center"/>
          </w:tcPr>
          <w:p>
            <w:pPr>
              <w:spacing w:before="60" w:after="60"/>
              <w:jc w:val="center"/>
            </w:pPr>
            <w:r>
              <w:rPr>
                <w:b/>
                <w:color w:val="1a202c"/>
                <w:sz w:val="20"/>
              </w:rPr>
              <w:t>Epoch Range</w:t>
            </w:r>
          </w:p>
        </w:tc>
        <w:tc>
          <w:tcPr>
            <w:tcW w:w="2250" w:type="dxa"/>
            <w:shd w:val="clear" w:fill="edf2f7"/>
            <w:vAlign w:val="center"/>
          </w:tcPr>
          <w:p>
            <w:pPr>
              <w:spacing w:before="60" w:after="60"/>
              <w:jc w:val="center"/>
            </w:pPr>
            <w:r>
              <w:rPr>
                <w:b/>
                <w:color w:val="1a202c"/>
                <w:sz w:val="20"/>
              </w:rPr>
              <w:t>Train Loss</w:t>
            </w:r>
          </w:p>
        </w:tc>
        <w:tc>
          <w:tcPr>
            <w:tcW w:w="2250" w:type="dxa"/>
            <w:shd w:val="clear" w:fill="edf2f7"/>
            <w:vAlign w:val="center"/>
          </w:tcPr>
          <w:p>
            <w:pPr>
              <w:spacing w:before="60" w:after="60"/>
              <w:jc w:val="center"/>
            </w:pPr>
            <w:r>
              <w:rPr>
                <w:b/>
                <w:color w:val="1a202c"/>
                <w:sz w:val="20"/>
              </w:rPr>
              <w:t>Val Loss</w:t>
            </w:r>
          </w:p>
        </w:tc>
        <w:tc>
          <w:tcPr>
            <w:tcW w:w="2250" w:type="dxa"/>
            <w:shd w:val="clear" w:fill="edf2f7"/>
            <w:vAlign w:val="center"/>
          </w:tcPr>
          <w:p>
            <w:pPr>
              <w:spacing w:before="60" w:after="60"/>
              <w:jc w:val="center"/>
            </w:pPr>
            <w:r>
              <w:rPr>
                <w:b/>
                <w:color w:val="1a202c"/>
                <w:sz w:val="20"/>
              </w:rPr>
              <w:t>Val/Train Ratio</w:t>
            </w:r>
          </w:p>
        </w:tc>
      </w:tr>
      <w:tr>
        <w:tc>
          <w:tcPr>
            <w:tcW w:w="2250" w:type="dxa"/>
            <w:vAlign w:val="center"/>
          </w:tcPr>
          <w:p>
            <w:pPr>
              <w:spacing w:before="40" w:after="40"/>
              <w:jc w:val="center"/>
            </w:pPr>
            <w:r>
              <w:rPr>
                <w:color w:val="4a5568"/>
                <w:sz w:val="20"/>
              </w:rPr>
              <w:t xml:space="preserve">1–10</w:t>
            </w:r>
          </w:p>
        </w:tc>
        <w:tc>
          <w:tcPr>
            <w:tcW w:w="2250" w:type="dxa"/>
            <w:vAlign w:val="center"/>
          </w:tcPr>
          <w:p>
            <w:pPr>
              <w:spacing w:before="40" w:after="40"/>
              <w:jc w:val="center"/>
            </w:pPr>
            <w:r>
              <w:rPr>
                <w:color w:val="4a5568"/>
                <w:sz w:val="20"/>
              </w:rPr>
              <w:t xml:space="preserve">0.0187 → 0.0062</w:t>
            </w:r>
          </w:p>
        </w:tc>
        <w:tc>
          <w:tcPr>
            <w:tcW w:w="2250" w:type="dxa"/>
            <w:vAlign w:val="center"/>
          </w:tcPr>
          <w:p>
            <w:pPr>
              <w:spacing w:before="40" w:after="40"/>
              <w:jc w:val="center"/>
            </w:pPr>
            <w:r>
              <w:rPr>
                <w:color w:val="4a5568"/>
                <w:sz w:val="20"/>
              </w:rPr>
              <w:t xml:space="preserve">0.0114 → 0.0068</w:t>
            </w:r>
          </w:p>
        </w:tc>
        <w:tc>
          <w:tcPr>
            <w:tcW w:w="2250" w:type="dxa"/>
            <w:vAlign w:val="center"/>
          </w:tcPr>
          <w:p>
            <w:pPr>
              <w:spacing w:before="40" w:after="40"/>
              <w:jc w:val="center"/>
            </w:pPr>
            <w:r>
              <w:rPr>
                <w:color w:val="4a5568"/>
                <w:sz w:val="20"/>
              </w:rPr>
              <w:t xml:space="preserve">0.61 → 1.09</w:t>
            </w:r>
          </w:p>
        </w:tc>
      </w:tr>
      <w:tr>
        <w:tc>
          <w:tcPr>
            <w:tcW w:w="2250" w:type="dxa"/>
            <w:vAlign w:val="center"/>
          </w:tcPr>
          <w:p>
            <w:pPr>
              <w:spacing w:before="40" w:after="40"/>
              <w:jc w:val="center"/>
            </w:pPr>
            <w:r>
              <w:rPr>
                <w:color w:val="4a5568"/>
                <w:sz w:val="20"/>
              </w:rPr>
              <w:t xml:space="preserve">11–20</w:t>
            </w:r>
          </w:p>
        </w:tc>
        <w:tc>
          <w:tcPr>
            <w:tcW w:w="2250" w:type="dxa"/>
            <w:vAlign w:val="center"/>
          </w:tcPr>
          <w:p>
            <w:pPr>
              <w:spacing w:before="40" w:after="40"/>
              <w:jc w:val="center"/>
            </w:pPr>
            <w:r>
              <w:rPr>
                <w:color w:val="4a5568"/>
                <w:sz w:val="20"/>
              </w:rPr>
              <w:t xml:space="preserve">0.0060 → 0.0038</w:t>
            </w:r>
          </w:p>
        </w:tc>
        <w:tc>
          <w:tcPr>
            <w:tcW w:w="2250" w:type="dxa"/>
            <w:vAlign w:val="center"/>
          </w:tcPr>
          <w:p>
            <w:pPr>
              <w:spacing w:before="40" w:after="40"/>
              <w:jc w:val="center"/>
            </w:pPr>
            <w:r>
              <w:rPr>
                <w:color w:val="4a5568"/>
                <w:sz w:val="20"/>
              </w:rPr>
              <w:t xml:space="preserve">0.0067 → 0.0051</w:t>
            </w:r>
          </w:p>
        </w:tc>
        <w:tc>
          <w:tcPr>
            <w:tcW w:w="2250" w:type="dxa"/>
            <w:vAlign w:val="center"/>
          </w:tcPr>
          <w:p>
            <w:pPr>
              <w:spacing w:before="40" w:after="40"/>
              <w:jc w:val="center"/>
            </w:pPr>
            <w:r>
              <w:rPr>
                <w:color w:val="4a5568"/>
                <w:sz w:val="20"/>
              </w:rPr>
              <w:t xml:space="preserve">1.12 → 1.32</w:t>
            </w:r>
          </w:p>
        </w:tc>
      </w:tr>
      <w:tr>
        <w:tc>
          <w:tcPr>
            <w:tcW w:w="2250" w:type="dxa"/>
            <w:vAlign w:val="center"/>
          </w:tcPr>
          <w:p>
            <w:pPr>
              <w:spacing w:before="40" w:after="40"/>
              <w:jc w:val="center"/>
            </w:pPr>
            <w:r>
              <w:rPr>
                <w:color w:val="4a5568"/>
                <w:sz w:val="20"/>
              </w:rPr>
              <w:t xml:space="preserve">21–30</w:t>
            </w:r>
          </w:p>
        </w:tc>
        <w:tc>
          <w:tcPr>
            <w:tcW w:w="2250" w:type="dxa"/>
            <w:vAlign w:val="center"/>
          </w:tcPr>
          <w:p>
            <w:pPr>
              <w:spacing w:before="40" w:after="40"/>
              <w:jc w:val="center"/>
            </w:pPr>
            <w:r>
              <w:rPr>
                <w:color w:val="4a5568"/>
                <w:sz w:val="20"/>
              </w:rPr>
              <w:t xml:space="preserve">0.0036 → 0.0028</w:t>
            </w:r>
          </w:p>
        </w:tc>
        <w:tc>
          <w:tcPr>
            <w:tcW w:w="2250" w:type="dxa"/>
            <w:vAlign w:val="center"/>
          </w:tcPr>
          <w:p>
            <w:pPr>
              <w:spacing w:before="40" w:after="40"/>
              <w:jc w:val="center"/>
            </w:pPr>
            <w:r>
              <w:rPr>
                <w:color w:val="4a5568"/>
                <w:sz w:val="20"/>
              </w:rPr>
              <w:t xml:space="preserve">0.0049 → 0.0042</w:t>
            </w:r>
          </w:p>
        </w:tc>
        <w:tc>
          <w:tcPr>
            <w:tcW w:w="2250" w:type="dxa"/>
            <w:vAlign w:val="center"/>
          </w:tcPr>
          <w:p>
            <w:pPr>
              <w:spacing w:before="40" w:after="40"/>
              <w:jc w:val="center"/>
            </w:pPr>
            <w:r>
              <w:rPr>
                <w:color w:val="4a5568"/>
                <w:sz w:val="20"/>
              </w:rPr>
              <w:t xml:space="preserve">1.34 → 1.51</w:t>
            </w:r>
          </w:p>
        </w:tc>
      </w:tr>
      <w:tr>
        <w:tc>
          <w:tcPr>
            <w:tcW w:w="2250" w:type="dxa"/>
            <w:vAlign w:val="center"/>
          </w:tcPr>
          <w:p>
            <w:pPr>
              <w:spacing w:before="40" w:after="40"/>
              <w:jc w:val="center"/>
            </w:pPr>
            <w:r>
              <w:rPr>
                <w:color w:val="4a5568"/>
                <w:sz w:val="20"/>
              </w:rPr>
              <w:t xml:space="preserve">31–40</w:t>
            </w:r>
          </w:p>
        </w:tc>
        <w:tc>
          <w:tcPr>
            <w:tcW w:w="2250" w:type="dxa"/>
            <w:vAlign w:val="center"/>
          </w:tcPr>
          <w:p>
            <w:pPr>
              <w:spacing w:before="40" w:after="40"/>
              <w:jc w:val="center"/>
            </w:pPr>
            <w:r>
              <w:rPr>
                <w:color w:val="4a5568"/>
                <w:sz w:val="20"/>
              </w:rPr>
              <w:t xml:space="preserve">0.0027 → 0.0023</w:t>
            </w:r>
          </w:p>
        </w:tc>
        <w:tc>
          <w:tcPr>
            <w:tcW w:w="2250" w:type="dxa"/>
            <w:vAlign w:val="center"/>
          </w:tcPr>
          <w:p>
            <w:pPr>
              <w:spacing w:before="40" w:after="40"/>
              <w:jc w:val="center"/>
            </w:pPr>
            <w:r>
              <w:rPr>
                <w:color w:val="4a5568"/>
                <w:sz w:val="20"/>
              </w:rPr>
              <w:t xml:space="preserve">0.0039 → 0.0032</w:t>
            </w:r>
          </w:p>
        </w:tc>
        <w:tc>
          <w:tcPr>
            <w:tcW w:w="2250" w:type="dxa"/>
            <w:vAlign w:val="center"/>
          </w:tcPr>
          <w:p>
            <w:pPr>
              <w:spacing w:before="40" w:after="40"/>
              <w:jc w:val="center"/>
            </w:pPr>
            <w:r>
              <w:rPr>
                <w:color w:val="4a5568"/>
                <w:sz w:val="20"/>
              </w:rPr>
              <w:t xml:space="preserve">1.42 → 1.41</w:t>
            </w:r>
          </w:p>
        </w:tc>
      </w:tr>
      <w:tr>
        <w:tc>
          <w:tcPr>
            <w:tcW w:w="2250" w:type="dxa"/>
            <w:vAlign w:val="center"/>
          </w:tcPr>
          <w:p>
            <w:pPr>
              <w:spacing w:before="40" w:after="40"/>
              <w:jc w:val="center"/>
            </w:pPr>
            <w:r>
              <w:rPr>
                <w:color w:val="4a5568"/>
                <w:sz w:val="20"/>
              </w:rPr>
              <w:t xml:space="preserve">Best (Ep. 39)</w:t>
            </w:r>
          </w:p>
        </w:tc>
        <w:tc>
          <w:tcPr>
            <w:tcW w:w="2250" w:type="dxa"/>
            <w:vAlign w:val="center"/>
          </w:tcPr>
          <w:p>
            <w:pPr>
              <w:spacing w:before="40" w:after="40"/>
              <w:jc w:val="center"/>
            </w:pPr>
            <w:r>
              <w:rPr>
                <w:color w:val="4a5568"/>
                <w:sz w:val="20"/>
              </w:rPr>
              <w:t xml:space="preserve">0.002285</w:t>
            </w:r>
          </w:p>
        </w:tc>
        <w:tc>
          <w:tcPr>
            <w:tcW w:w="2250" w:type="dxa"/>
            <w:vAlign w:val="center"/>
          </w:tcPr>
          <w:p>
            <w:pPr>
              <w:spacing w:before="40" w:after="40"/>
              <w:jc w:val="center"/>
            </w:pPr>
            <w:r>
              <w:rPr>
                <w:color w:val="4a5568"/>
                <w:sz w:val="20"/>
              </w:rPr>
              <w:t xml:space="preserve">0.002727</w:t>
            </w:r>
          </w:p>
        </w:tc>
        <w:tc>
          <w:tcPr>
            <w:tcW w:w="2250" w:type="dxa"/>
            <w:vAlign w:val="center"/>
          </w:tcPr>
          <w:p>
            <w:pPr>
              <w:spacing w:before="40" w:after="40"/>
              <w:jc w:val="center"/>
            </w:pPr>
            <w:r>
              <w:rPr>
                <w:color w:val="4a5568"/>
                <w:sz w:val="20"/>
              </w:rPr>
              <w:t xml:space="preserve">1.193</w:t>
            </w:r>
          </w:p>
        </w:tc>
      </w:tr>
    </w:tbl>
    <w:p>
      <w:pPr>
        <w:pStyle w:val="Heading3"/>
      </w:pPr>
      <w:r>
        <w:t>5.1.2 Reconstruction Quality</w:t>
      </w:r>
    </w:p>
    <w:tbl>
      <w:tblPr>
        <w:tblW w:w="5000" w:type="pct"/>
        <w:tblBorders>
          <w:top w:val="single" w:color="1a365d" w:sz="12"/>
          <w:left w:val="nil"/>
          <w:bottom w:val="single" w:color="1a365d" w:sz="12"/>
          <w:right w:val="nil"/>
          <w:insideH w:val="single" w:color="e2e8f0" w:sz="4"/>
          <w:insideV w:val="nil"/>
        </w:tblBorders>
      </w:tblPr>
      <w:tblGrid>
        <w:gridCol w:w="3000"/>
        <w:gridCol w:w="3000"/>
        <w:gridCol w:w="3000"/>
      </w:tblGrid>
      <w:tr>
        <w:trPr>
          <w:tblHeader/>
        </w:trPr>
        <w:tc>
          <w:tcPr>
            <w:tcW w:w="3000" w:type="dxa"/>
            <w:shd w:val="clear" w:fill="edf2f7"/>
            <w:vAlign w:val="center"/>
          </w:tcPr>
          <w:p>
            <w:pPr>
              <w:spacing w:before="60" w:after="60"/>
              <w:jc w:val="center"/>
            </w:pPr>
            <w:r>
              <w:rPr>
                <w:b/>
                <w:color w:val="1a202c"/>
                <w:sz w:val="20"/>
              </w:rPr>
              <w:t>Frame Class</w:t>
            </w:r>
          </w:p>
        </w:tc>
        <w:tc>
          <w:tcPr>
            <w:tcW w:w="3000" w:type="dxa"/>
            <w:shd w:val="clear" w:fill="edf2f7"/>
            <w:vAlign w:val="center"/>
          </w:tcPr>
          <w:p>
            <w:pPr>
              <w:spacing w:before="60" w:after="60"/>
              <w:jc w:val="center"/>
            </w:pPr>
            <w:r>
              <w:rPr>
                <w:b/>
                <w:color w:val="1a202c"/>
                <w:sz w:val="20"/>
              </w:rPr>
              <w:t>Mean Reconstruction Error</w:t>
            </w:r>
          </w:p>
        </w:tc>
        <w:tc>
          <w:tcPr>
            <w:tcW w:w="3000" w:type="dxa"/>
            <w:shd w:val="clear" w:fill="edf2f7"/>
            <w:vAlign w:val="center"/>
          </w:tcPr>
          <w:p>
            <w:pPr>
              <w:spacing w:before="60" w:after="60"/>
              <w:jc w:val="center"/>
            </w:pPr>
            <w:r>
              <w:rPr>
                <w:b/>
                <w:color w:val="1a202c"/>
                <w:sz w:val="20"/>
              </w:rPr>
              <w:t>Std Dev</w:t>
            </w:r>
          </w:p>
        </w:tc>
      </w:tr>
      <w:tr>
        <w:tc>
          <w:tcPr>
            <w:tcW w:w="3000" w:type="dxa"/>
            <w:vAlign w:val="center"/>
          </w:tcPr>
          <w:p>
            <w:pPr>
              <w:spacing w:before="40" w:after="40"/>
              <w:jc w:val="center"/>
            </w:pPr>
            <w:r>
              <w:rPr>
                <w:color w:val="4a5568"/>
                <w:sz w:val="20"/>
              </w:rPr>
              <w:t xml:space="preserve">No-fire (validation set)</w:t>
            </w:r>
          </w:p>
        </w:tc>
        <w:tc>
          <w:tcPr>
            <w:tcW w:w="3000" w:type="dxa"/>
            <w:vAlign w:val="center"/>
          </w:tcPr>
          <w:p>
            <w:pPr>
              <w:spacing w:before="40" w:after="40"/>
              <w:jc w:val="center"/>
            </w:pPr>
            <w:r>
              <w:rPr>
                <w:color w:val="4a5568"/>
                <w:sz w:val="20"/>
              </w:rPr>
              <w:t xml:space="preserve">0.002123</w:t>
            </w:r>
          </w:p>
        </w:tc>
        <w:tc>
          <w:tcPr>
            <w:tcW w:w="3000" w:type="dxa"/>
            <w:vAlign w:val="center"/>
          </w:tcPr>
          <w:p>
            <w:pPr>
              <w:spacing w:before="40" w:after="40"/>
              <w:jc w:val="center"/>
            </w:pPr>
            <w:r>
              <w:rPr>
                <w:color w:val="4a5568"/>
                <w:sz w:val="20"/>
              </w:rPr>
              <w:t xml:space="preserve">0.000268</w:t>
            </w:r>
          </w:p>
        </w:tc>
      </w:tr>
      <w:tr>
        <w:tc>
          <w:tcPr>
            <w:tcW w:w="3000" w:type="dxa"/>
            <w:vAlign w:val="center"/>
          </w:tcPr>
          <w:p>
            <w:pPr>
              <w:spacing w:before="40" w:after="40"/>
              <w:jc w:val="center"/>
            </w:pPr>
            <w:r>
              <w:rPr>
                <w:color w:val="4a5568"/>
                <w:sz w:val="20"/>
              </w:rPr>
              <w:t xml:space="preserve">Fire (sampled)</w:t>
            </w:r>
          </w:p>
        </w:tc>
        <w:tc>
          <w:tcPr>
            <w:tcW w:w="3000" w:type="dxa"/>
            <w:vAlign w:val="center"/>
          </w:tcPr>
          <w:p>
            <w:pPr>
              <w:spacing w:before="40" w:after="40"/>
              <w:jc w:val="center"/>
            </w:pPr>
            <w:r>
              <w:rPr>
                <w:color w:val="4a5568"/>
                <w:sz w:val="20"/>
              </w:rPr>
              <w:t xml:space="preserve">0.042125</w:t>
            </w:r>
          </w:p>
        </w:tc>
        <w:tc>
          <w:tcPr>
            <w:tcW w:w="3000" w:type="dxa"/>
            <w:vAlign w:val="center"/>
          </w:tcPr>
          <w:p>
            <w:pPr>
              <w:spacing w:before="40" w:after="40"/>
              <w:jc w:val="center"/>
            </w:pPr>
            <w:r>
              <w:rPr>
                <w:color w:val="4a5568"/>
                <w:sz w:val="20"/>
              </w:rPr>
              <w:t xml:space="preserve">0.008239</w:t>
            </w:r>
          </w:p>
        </w:tc>
      </w:tr>
      <w:tr>
        <w:tc>
          <w:tcPr>
            <w:tcW w:w="3000" w:type="dxa"/>
            <w:vAlign w:val="center"/>
          </w:tcPr>
          <w:p>
            <w:pPr>
              <w:spacing w:before="40" w:after="40"/>
              <w:jc w:val="center"/>
            </w:pPr>
            <w:r>
              <w:rPr>
                <w:color w:val="4a5568"/>
                <w:sz w:val="20"/>
              </w:rPr>
              <w:t xml:space="preserve">Separation ratio</w:t>
            </w:r>
          </w:p>
        </w:tc>
        <w:tc>
          <w:tcPr>
            <w:tcW w:w="3000" w:type="dxa"/>
            <w:vAlign w:val="center"/>
          </w:tcPr>
          <w:p>
            <w:pPr>
              <w:spacing w:before="40" w:after="40"/>
              <w:jc w:val="center"/>
            </w:pPr>
            <w:r>
              <w:rPr>
                <w:color w:val="4a5568"/>
                <w:sz w:val="20"/>
              </w:rPr>
              <w:t xml:space="preserve">19.84×</w:t>
            </w:r>
          </w:p>
        </w:tc>
        <w:tc>
          <w:tcPr>
            <w:tcW w:w="3000" w:type="dxa"/>
            <w:vAlign w:val="center"/>
          </w:tcPr>
          <w:p>
            <w:pPr>
              <w:spacing w:before="40" w:after="40"/>
              <w:jc w:val="center"/>
            </w:pPr>
            <w:r>
              <w:rPr>
                <w:color w:val="4a5568"/>
                <w:sz w:val="20"/>
              </w:rPr>
              <w:t xml:space="preserve">—</w:t>
            </w:r>
          </w:p>
        </w:tc>
      </w:tr>
    </w:tbl>
    <w:p>
      <w:pPr>
        <w:pStyle w:val="Normal"/>
      </w:pPr>
      <w:r>
        <w:t xml:space="preserve">The 19.84× error separation ratio far exceeds the target threshold of 2×, confirming that the autoencoder successfully discriminates fire from no-fire frames using unsupervised reconstruction error alone.</w:t>
      </w:r>
    </w:p>
    <w:p>
      <w:pPr>
        <w:pStyle w:val="Heading2"/>
      </w:pPr>
      <w:r>
        <w:t>5.2 Anomaly Detection Performance</w:t>
      </w:r>
    </w:p>
    <w:tbl>
      <w:tblPr>
        <w:tblW w:w="5000" w:type="pct"/>
        <w:tblBorders>
          <w:top w:val="single" w:color="1a365d" w:sz="12"/>
          <w:left w:val="nil"/>
          <w:bottom w:val="single" w:color="1a365d" w:sz="12"/>
          <w:right w:val="nil"/>
          <w:insideH w:val="single" w:color="e2e8f0" w:sz="4"/>
          <w:insideV w:val="nil"/>
        </w:tblBorders>
      </w:tblPr>
      <w:tblGrid>
        <w:gridCol w:w="4500"/>
        <w:gridCol w:w="4500"/>
      </w:tblGrid>
      <w:tr>
        <w:trPr>
          <w:tblHeader/>
        </w:trPr>
        <w:tc>
          <w:tcPr>
            <w:tcW w:w="4500" w:type="dxa"/>
            <w:shd w:val="clear" w:fill="edf2f7"/>
            <w:vAlign w:val="center"/>
          </w:tcPr>
          <w:p>
            <w:pPr>
              <w:spacing w:before="60" w:after="60"/>
              <w:jc w:val="center"/>
            </w:pPr>
            <w:r>
              <w:rPr>
                <w:b/>
                <w:color w:val="1a202c"/>
                <w:sz w:val="20"/>
              </w:rPr>
              <w:t>Metric</w:t>
            </w:r>
          </w:p>
        </w:tc>
        <w:tc>
          <w:tcPr>
            <w:tcW w:w="4500" w:type="dxa"/>
            <w:shd w:val="clear" w:fill="edf2f7"/>
            <w:vAlign w:val="center"/>
          </w:tcPr>
          <w:p>
            <w:pPr>
              <w:spacing w:before="60" w:after="60"/>
              <w:jc w:val="center"/>
            </w:pPr>
            <w:r>
              <w:rPr>
                <w:b/>
                <w:color w:val="1a202c"/>
                <w:sz w:val="20"/>
              </w:rPr>
              <w:t>Value</w:t>
            </w:r>
          </w:p>
        </w:tc>
      </w:tr>
      <w:tr>
        <w:tc>
          <w:tcPr>
            <w:tcW w:w="4500" w:type="dxa"/>
            <w:vAlign w:val="center"/>
          </w:tcPr>
          <w:p>
            <w:pPr>
              <w:spacing w:before="40" w:after="40"/>
              <w:jc w:val="center"/>
            </w:pPr>
            <w:r>
              <w:rPr>
                <w:color w:val="4a5568"/>
                <w:sz w:val="20"/>
              </w:rPr>
              <w:t xml:space="preserve">ROC AUC</w:t>
            </w:r>
          </w:p>
        </w:tc>
        <w:tc>
          <w:tcPr>
            <w:tcW w:w="4500" w:type="dxa"/>
            <w:vAlign w:val="center"/>
          </w:tcPr>
          <w:p>
            <w:pPr>
              <w:spacing w:before="40" w:after="40"/>
              <w:jc w:val="center"/>
            </w:pPr>
            <w:r>
              <w:rPr>
                <w:color w:val="4a5568"/>
                <w:sz w:val="20"/>
              </w:rPr>
              <w:t xml:space="preserve">0.9845</w:t>
            </w:r>
          </w:p>
        </w:tc>
      </w:tr>
      <w:tr>
        <w:tc>
          <w:tcPr>
            <w:tcW w:w="4500" w:type="dxa"/>
            <w:vAlign w:val="center"/>
          </w:tcPr>
          <w:p>
            <w:pPr>
              <w:spacing w:before="40" w:after="40"/>
              <w:jc w:val="center"/>
            </w:pPr>
            <w:r>
              <w:rPr>
                <w:color w:val="4a5568"/>
                <w:sz w:val="20"/>
              </w:rPr>
              <w:t xml:space="preserve">Average Precision (AP)</w:t>
            </w:r>
          </w:p>
        </w:tc>
        <w:tc>
          <w:tcPr>
            <w:tcW w:w="4500" w:type="dxa"/>
            <w:vAlign w:val="center"/>
          </w:tcPr>
          <w:p>
            <w:pPr>
              <w:spacing w:before="40" w:after="40"/>
              <w:jc w:val="center"/>
            </w:pPr>
            <w:r>
              <w:rPr>
                <w:color w:val="4a5568"/>
                <w:sz w:val="20"/>
              </w:rPr>
              <w:t xml:space="preserve">0.9884</w:t>
            </w:r>
          </w:p>
        </w:tc>
      </w:tr>
      <w:tr>
        <w:tc>
          <w:tcPr>
            <w:tcW w:w="4500" w:type="dxa"/>
            <w:vAlign w:val="center"/>
          </w:tcPr>
          <w:p>
            <w:pPr>
              <w:spacing w:before="40" w:after="40"/>
              <w:jc w:val="center"/>
            </w:pPr>
            <w:r>
              <w:rPr>
                <w:color w:val="4a5568"/>
                <w:sz w:val="20"/>
              </w:rPr>
              <w:t xml:space="preserve">Optimal Threshold (Youden's J)</w:t>
            </w:r>
          </w:p>
        </w:tc>
        <w:tc>
          <w:tcPr>
            <w:tcW w:w="4500" w:type="dxa"/>
            <w:vAlign w:val="center"/>
          </w:tcPr>
          <w:p>
            <w:pPr>
              <w:spacing w:before="40" w:after="40"/>
              <w:jc w:val="center"/>
            </w:pPr>
            <w:r>
              <w:rPr>
                <w:color w:val="4a5568"/>
                <w:sz w:val="20"/>
              </w:rPr>
              <w:t xml:space="preserve">0.008690</w:t>
            </w:r>
          </w:p>
        </w:tc>
      </w:tr>
      <w:tr>
        <w:tc>
          <w:tcPr>
            <w:tcW w:w="4500" w:type="dxa"/>
            <w:vAlign w:val="center"/>
          </w:tcPr>
          <w:p>
            <w:pPr>
              <w:spacing w:before="40" w:after="40"/>
              <w:jc w:val="center"/>
            </w:pPr>
            <w:r>
              <w:rPr>
                <w:color w:val="4a5568"/>
                <w:sz w:val="20"/>
              </w:rPr>
              <w:t xml:space="preserve">F1 Score at Threshold</w:t>
            </w:r>
          </w:p>
        </w:tc>
        <w:tc>
          <w:tcPr>
            <w:tcW w:w="4500" w:type="dxa"/>
            <w:vAlign w:val="center"/>
          </w:tcPr>
          <w:p>
            <w:pPr>
              <w:spacing w:before="40" w:after="40"/>
              <w:jc w:val="center"/>
            </w:pPr>
            <w:r>
              <w:rPr>
                <w:color w:val="4a5568"/>
                <w:sz w:val="20"/>
              </w:rPr>
              <w:t xml:space="preserve">0.9605</w:t>
            </w:r>
          </w:p>
        </w:tc>
      </w:tr>
      <w:tr>
        <w:tc>
          <w:tcPr>
            <w:tcW w:w="4500" w:type="dxa"/>
            <w:vAlign w:val="center"/>
          </w:tcPr>
          <w:p>
            <w:pPr>
              <w:spacing w:before="40" w:after="40"/>
              <w:jc w:val="center"/>
            </w:pPr>
            <w:r>
              <w:rPr>
                <w:color w:val="4a5568"/>
                <w:sz w:val="20"/>
              </w:rPr>
              <w:t xml:space="preserve">Precision at Threshold</w:t>
            </w:r>
          </w:p>
        </w:tc>
        <w:tc>
          <w:tcPr>
            <w:tcW w:w="4500" w:type="dxa"/>
            <w:vAlign w:val="center"/>
          </w:tcPr>
          <w:p>
            <w:pPr>
              <w:spacing w:before="40" w:after="40"/>
              <w:jc w:val="center"/>
            </w:pPr>
            <w:r>
              <w:rPr>
                <w:color w:val="4a5568"/>
                <w:sz w:val="20"/>
              </w:rPr>
              <w:t xml:space="preserve">1.0000</w:t>
            </w:r>
          </w:p>
        </w:tc>
      </w:tr>
      <w:tr>
        <w:tc>
          <w:tcPr>
            <w:tcW w:w="4500" w:type="dxa"/>
            <w:vAlign w:val="center"/>
          </w:tcPr>
          <w:p>
            <w:pPr>
              <w:spacing w:before="40" w:after="40"/>
              <w:jc w:val="center"/>
            </w:pPr>
            <w:r>
              <w:rPr>
                <w:color w:val="4a5568"/>
                <w:sz w:val="20"/>
              </w:rPr>
              <w:t xml:space="preserve">Recall at Threshold</w:t>
            </w:r>
          </w:p>
        </w:tc>
        <w:tc>
          <w:tcPr>
            <w:tcW w:w="4500" w:type="dxa"/>
            <w:vAlign w:val="center"/>
          </w:tcPr>
          <w:p>
            <w:pPr>
              <w:spacing w:before="40" w:after="40"/>
              <w:jc w:val="center"/>
            </w:pPr>
            <w:r>
              <w:rPr>
                <w:color w:val="4a5568"/>
                <w:sz w:val="20"/>
              </w:rPr>
              <w:t xml:space="preserve">0.9240</w:t>
            </w:r>
          </w:p>
        </w:tc>
      </w:tr>
      <w:tr>
        <w:tc>
          <w:tcPr>
            <w:tcW w:w="4500" w:type="dxa"/>
            <w:vAlign w:val="center"/>
          </w:tcPr>
          <w:p>
            <w:pPr>
              <w:spacing w:before="40" w:after="40"/>
              <w:jc w:val="center"/>
            </w:pPr>
            <w:r>
              <w:rPr>
                <w:color w:val="4a5568"/>
                <w:sz w:val="20"/>
              </w:rPr>
              <w:t xml:space="preserve">True Negatives (no-fire correct)</w:t>
            </w:r>
          </w:p>
        </w:tc>
        <w:tc>
          <w:tcPr>
            <w:tcW w:w="4500" w:type="dxa"/>
            <w:vAlign w:val="center"/>
          </w:tcPr>
          <w:p>
            <w:pPr>
              <w:spacing w:before="40" w:after="40"/>
              <w:jc w:val="center"/>
            </w:pPr>
            <w:r>
              <w:rPr>
                <w:color w:val="4a5568"/>
                <w:sz w:val="20"/>
              </w:rPr>
              <w:t xml:space="preserve">500</w:t>
            </w:r>
          </w:p>
        </w:tc>
      </w:tr>
      <w:tr>
        <w:tc>
          <w:tcPr>
            <w:tcW w:w="4500" w:type="dxa"/>
            <w:vAlign w:val="center"/>
          </w:tcPr>
          <w:p>
            <w:pPr>
              <w:spacing w:before="40" w:after="40"/>
              <w:jc w:val="center"/>
            </w:pPr>
            <w:r>
              <w:rPr>
                <w:color w:val="4a5568"/>
                <w:sz w:val="20"/>
              </w:rPr>
              <w:t xml:space="preserve">False Positives (no-fire misclassified)</w:t>
            </w:r>
          </w:p>
        </w:tc>
        <w:tc>
          <w:tcPr>
            <w:tcW w:w="4500" w:type="dxa"/>
            <w:vAlign w:val="center"/>
          </w:tcPr>
          <w:p>
            <w:pPr>
              <w:spacing w:before="40" w:after="40"/>
              <w:jc w:val="center"/>
            </w:pPr>
            <w:r>
              <w:rPr>
                <w:color w:val="4a5568"/>
                <w:sz w:val="20"/>
              </w:rPr>
              <w:t xml:space="preserve">0</w:t>
            </w:r>
          </w:p>
        </w:tc>
      </w:tr>
      <w:tr>
        <w:tc>
          <w:tcPr>
            <w:tcW w:w="4500" w:type="dxa"/>
            <w:vAlign w:val="center"/>
          </w:tcPr>
          <w:p>
            <w:pPr>
              <w:spacing w:before="40" w:after="40"/>
              <w:jc w:val="center"/>
            </w:pPr>
            <w:r>
              <w:rPr>
                <w:color w:val="4a5568"/>
                <w:sz w:val="20"/>
              </w:rPr>
              <w:t xml:space="preserve">False Negatives (fire missed)</w:t>
            </w:r>
          </w:p>
        </w:tc>
        <w:tc>
          <w:tcPr>
            <w:tcW w:w="4500" w:type="dxa"/>
            <w:vAlign w:val="center"/>
          </w:tcPr>
          <w:p>
            <w:pPr>
              <w:spacing w:before="40" w:after="40"/>
              <w:jc w:val="center"/>
            </w:pPr>
            <w:r>
              <w:rPr>
                <w:color w:val="4a5568"/>
                <w:sz w:val="20"/>
              </w:rPr>
              <w:t xml:space="preserve">38</w:t>
            </w:r>
          </w:p>
        </w:tc>
      </w:tr>
      <w:tr>
        <w:tc>
          <w:tcPr>
            <w:tcW w:w="4500" w:type="dxa"/>
            <w:vAlign w:val="center"/>
          </w:tcPr>
          <w:p>
            <w:pPr>
              <w:spacing w:before="40" w:after="40"/>
              <w:jc w:val="center"/>
            </w:pPr>
            <w:r>
              <w:rPr>
                <w:color w:val="4a5568"/>
                <w:sz w:val="20"/>
              </w:rPr>
              <w:t xml:space="preserve">True Positives (fire detected)</w:t>
            </w:r>
          </w:p>
        </w:tc>
        <w:tc>
          <w:tcPr>
            <w:tcW w:w="4500" w:type="dxa"/>
            <w:vAlign w:val="center"/>
          </w:tcPr>
          <w:p>
            <w:pPr>
              <w:spacing w:before="40" w:after="40"/>
              <w:jc w:val="center"/>
            </w:pPr>
            <w:r>
              <w:rPr>
                <w:color w:val="4a5568"/>
                <w:sz w:val="20"/>
              </w:rPr>
              <w:t xml:space="preserve">462</w:t>
            </w:r>
          </w:p>
        </w:tc>
      </w:tr>
    </w:tbl>
    <w:p>
      <w:pPr>
        <w:pStyle w:val="Normal"/>
      </w:pPr>
      <w:r>
        <w:t xml:space="preserve">The perfect precision (1.0000) at the calibrated threshold means that every frame flagged as fire is a genuine fire frame, eliminating false alarms entirely on the calibration set. The recall of 0.9240 indicates that 7.6% of fire frames are missed — a conservative operating point that prioritizes operational reliability.</w:t>
      </w:r>
    </w:p>
    <w:p>
      <w:pPr>
        <w:pStyle w:val="Heading2"/>
      </w:pPr>
      <w:r>
        <w:t>5.3 YOLOv11s Detection Results</w:t>
      </w:r>
    </w:p>
    <w:p>
      <w:pPr>
        <w:pStyle w:val="Heading3"/>
      </w:pPr>
      <w:r>
        <w:t>5.3.1 Final Epoch Performance (Epoch 100)</w:t>
      </w:r>
    </w:p>
    <w:tbl>
      <w:tblPr>
        <w:tblW w:w="5000" w:type="pct"/>
        <w:tblBorders>
          <w:top w:val="single" w:color="1a365d" w:sz="12"/>
          <w:left w:val="nil"/>
          <w:bottom w:val="single" w:color="1a365d" w:sz="12"/>
          <w:right w:val="nil"/>
          <w:insideH w:val="single" w:color="e2e8f0" w:sz="4"/>
          <w:insideV w:val="nil"/>
        </w:tblBorders>
      </w:tblPr>
      <w:tblGrid>
        <w:gridCol w:w="1800"/>
        <w:gridCol w:w="1800"/>
        <w:gridCol w:w="1800"/>
        <w:gridCol w:w="1800"/>
        <w:gridCol w:w="1800"/>
      </w:tblGrid>
      <w:tr>
        <w:trPr>
          <w:tblHeader/>
        </w:trPr>
        <w:tc>
          <w:tcPr>
            <w:tcW w:w="1800" w:type="dxa"/>
            <w:shd w:val="clear" w:fill="edf2f7"/>
            <w:vAlign w:val="center"/>
          </w:tcPr>
          <w:p>
            <w:pPr>
              <w:spacing w:before="60" w:after="60"/>
              <w:jc w:val="center"/>
            </w:pPr>
            <w:r>
              <w:rPr>
                <w:b/>
                <w:color w:val="1a202c"/>
                <w:sz w:val="20"/>
              </w:rPr>
              <w:t>Class</w:t>
            </w:r>
          </w:p>
        </w:tc>
        <w:tc>
          <w:tcPr>
            <w:tcW w:w="1800" w:type="dxa"/>
            <w:shd w:val="clear" w:fill="edf2f7"/>
            <w:vAlign w:val="center"/>
          </w:tcPr>
          <w:p>
            <w:pPr>
              <w:spacing w:before="60" w:after="60"/>
              <w:jc w:val="center"/>
            </w:pPr>
            <w:r>
              <w:rPr>
                <w:b/>
                <w:color w:val="1a202c"/>
                <w:sz w:val="20"/>
              </w:rPr>
              <w:t>Precision</w:t>
            </w:r>
          </w:p>
        </w:tc>
        <w:tc>
          <w:tcPr>
            <w:tcW w:w="1800" w:type="dxa"/>
            <w:shd w:val="clear" w:fill="edf2f7"/>
            <w:vAlign w:val="center"/>
          </w:tcPr>
          <w:p>
            <w:pPr>
              <w:spacing w:before="60" w:after="60"/>
              <w:jc w:val="center"/>
            </w:pPr>
            <w:r>
              <w:rPr>
                <w:b/>
                <w:color w:val="1a202c"/>
                <w:sz w:val="20"/>
              </w:rPr>
              <w:t>Recall</w:t>
            </w:r>
          </w:p>
        </w:tc>
        <w:tc>
          <w:tcPr>
            <w:tcW w:w="1800" w:type="dxa"/>
            <w:shd w:val="clear" w:fill="edf2f7"/>
            <w:vAlign w:val="center"/>
          </w:tcPr>
          <w:p>
            <w:pPr>
              <w:spacing w:before="60" w:after="60"/>
              <w:jc w:val="center"/>
            </w:pPr>
            <w:r>
              <w:rPr>
                <w:b/>
                <w:color w:val="1a202c"/>
                <w:sz w:val="20"/>
              </w:rPr>
              <w:t>mAP@0.5</w:t>
            </w:r>
          </w:p>
        </w:tc>
        <w:tc>
          <w:tcPr>
            <w:tcW w:w="1800" w:type="dxa"/>
            <w:shd w:val="clear" w:fill="edf2f7"/>
            <w:vAlign w:val="center"/>
          </w:tcPr>
          <w:p>
            <w:pPr>
              <w:spacing w:before="60" w:after="60"/>
              <w:jc w:val="center"/>
            </w:pPr>
            <w:r>
              <w:rPr>
                <w:b/>
                <w:color w:val="1a202c"/>
                <w:sz w:val="20"/>
              </w:rPr>
              <w:t>mAP@0.5–0.95</w:t>
            </w:r>
          </w:p>
        </w:tc>
      </w:tr>
      <w:tr>
        <w:tc>
          <w:tcPr>
            <w:tcW w:w="1800" w:type="dxa"/>
            <w:vAlign w:val="center"/>
          </w:tcPr>
          <w:p>
            <w:pPr>
              <w:spacing w:before="40" w:after="40"/>
              <w:jc w:val="center"/>
            </w:pPr>
            <w:r>
              <w:rPr>
                <w:color w:val="4a5568"/>
                <w:sz w:val="20"/>
              </w:rPr>
              <w:t xml:space="preserve">All (fire + smoke)</w:t>
            </w:r>
          </w:p>
        </w:tc>
        <w:tc>
          <w:tcPr>
            <w:tcW w:w="1800" w:type="dxa"/>
            <w:vAlign w:val="center"/>
          </w:tcPr>
          <w:p>
            <w:pPr>
              <w:spacing w:before="40" w:after="40"/>
              <w:jc w:val="center"/>
            </w:pPr>
            <w:r>
              <w:rPr>
                <w:color w:val="4a5568"/>
                <w:sz w:val="20"/>
              </w:rPr>
              <w:t xml:space="preserve">0.962</w:t>
            </w:r>
          </w:p>
        </w:tc>
        <w:tc>
          <w:tcPr>
            <w:tcW w:w="1800" w:type="dxa"/>
            <w:vAlign w:val="center"/>
          </w:tcPr>
          <w:p>
            <w:pPr>
              <w:spacing w:before="40" w:after="40"/>
              <w:jc w:val="center"/>
            </w:pPr>
            <w:r>
              <w:rPr>
                <w:color w:val="4a5568"/>
                <w:sz w:val="20"/>
              </w:rPr>
              <w:t xml:space="preserve">0.954</w:t>
            </w:r>
          </w:p>
        </w:tc>
        <w:tc>
          <w:tcPr>
            <w:tcW w:w="1800" w:type="dxa"/>
            <w:vAlign w:val="center"/>
          </w:tcPr>
          <w:p>
            <w:pPr>
              <w:spacing w:before="40" w:after="40"/>
              <w:jc w:val="center"/>
            </w:pPr>
            <w:r>
              <w:rPr>
                <w:color w:val="4a5568"/>
                <w:sz w:val="20"/>
              </w:rPr>
              <w:t xml:space="preserve">0.985</w:t>
            </w:r>
          </w:p>
        </w:tc>
        <w:tc>
          <w:tcPr>
            <w:tcW w:w="1800" w:type="dxa"/>
            <w:vAlign w:val="center"/>
          </w:tcPr>
          <w:p>
            <w:pPr>
              <w:spacing w:before="40" w:after="40"/>
              <w:jc w:val="center"/>
            </w:pPr>
            <w:r>
              <w:rPr>
                <w:color w:val="4a5568"/>
                <w:sz w:val="20"/>
              </w:rPr>
              <w:t xml:space="preserve">0.774</w:t>
            </w:r>
          </w:p>
        </w:tc>
      </w:tr>
      <w:tr>
        <w:tc>
          <w:tcPr>
            <w:tcW w:w="1800" w:type="dxa"/>
            <w:vAlign w:val="center"/>
          </w:tcPr>
          <w:p>
            <w:pPr>
              <w:spacing w:before="40" w:after="40"/>
              <w:jc w:val="center"/>
            </w:pPr>
            <w:r>
              <w:rPr>
                <w:color w:val="4a5568"/>
                <w:sz w:val="20"/>
              </w:rPr>
              <w:t xml:space="preserve">Fire</w:t>
            </w:r>
          </w:p>
        </w:tc>
        <w:tc>
          <w:tcPr>
            <w:tcW w:w="1800" w:type="dxa"/>
            <w:vAlign w:val="center"/>
          </w:tcPr>
          <w:p>
            <w:pPr>
              <w:spacing w:before="40" w:after="40"/>
              <w:jc w:val="center"/>
            </w:pPr>
            <w:r>
              <w:rPr>
                <w:color w:val="4a5568"/>
                <w:sz w:val="20"/>
              </w:rPr>
              <w:t xml:space="preserve">0.958</w:t>
            </w:r>
          </w:p>
        </w:tc>
        <w:tc>
          <w:tcPr>
            <w:tcW w:w="1800" w:type="dxa"/>
            <w:vAlign w:val="center"/>
          </w:tcPr>
          <w:p>
            <w:pPr>
              <w:spacing w:before="40" w:after="40"/>
              <w:jc w:val="center"/>
            </w:pPr>
            <w:r>
              <w:rPr>
                <w:color w:val="4a5568"/>
                <w:sz w:val="20"/>
              </w:rPr>
              <w:t xml:space="preserve">0.938</w:t>
            </w:r>
          </w:p>
        </w:tc>
        <w:tc>
          <w:tcPr>
            <w:tcW w:w="1800" w:type="dxa"/>
            <w:vAlign w:val="center"/>
          </w:tcPr>
          <w:p>
            <w:pPr>
              <w:spacing w:before="40" w:after="40"/>
              <w:jc w:val="center"/>
            </w:pPr>
            <w:r>
              <w:rPr>
                <w:color w:val="4a5568"/>
                <w:sz w:val="20"/>
              </w:rPr>
              <w:t xml:space="preserve">0.981</w:t>
            </w:r>
          </w:p>
        </w:tc>
        <w:tc>
          <w:tcPr>
            <w:tcW w:w="1800" w:type="dxa"/>
            <w:vAlign w:val="center"/>
          </w:tcPr>
          <w:p>
            <w:pPr>
              <w:spacing w:before="40" w:after="40"/>
              <w:jc w:val="center"/>
            </w:pPr>
            <w:r>
              <w:rPr>
                <w:color w:val="4a5568"/>
                <w:sz w:val="20"/>
              </w:rPr>
              <w:t xml:space="preserve">0.781</w:t>
            </w:r>
          </w:p>
        </w:tc>
      </w:tr>
      <w:tr>
        <w:tc>
          <w:tcPr>
            <w:tcW w:w="1800" w:type="dxa"/>
            <w:vAlign w:val="center"/>
          </w:tcPr>
          <w:p>
            <w:pPr>
              <w:spacing w:before="40" w:after="40"/>
              <w:jc w:val="center"/>
            </w:pPr>
            <w:r>
              <w:rPr>
                <w:color w:val="4a5568"/>
                <w:sz w:val="20"/>
              </w:rPr>
              <w:t xml:space="preserve">Smoke</w:t>
            </w:r>
          </w:p>
        </w:tc>
        <w:tc>
          <w:tcPr>
            <w:tcW w:w="1800" w:type="dxa"/>
            <w:vAlign w:val="center"/>
          </w:tcPr>
          <w:p>
            <w:pPr>
              <w:spacing w:before="40" w:after="40"/>
              <w:jc w:val="center"/>
            </w:pPr>
            <w:r>
              <w:rPr>
                <w:color w:val="4a5568"/>
                <w:sz w:val="20"/>
              </w:rPr>
              <w:t xml:space="preserve">0.966</w:t>
            </w:r>
          </w:p>
        </w:tc>
        <w:tc>
          <w:tcPr>
            <w:tcW w:w="1800" w:type="dxa"/>
            <w:vAlign w:val="center"/>
          </w:tcPr>
          <w:p>
            <w:pPr>
              <w:spacing w:before="40" w:after="40"/>
              <w:jc w:val="center"/>
            </w:pPr>
            <w:r>
              <w:rPr>
                <w:color w:val="4a5568"/>
                <w:sz w:val="20"/>
              </w:rPr>
              <w:t xml:space="preserve">0.970</w:t>
            </w:r>
          </w:p>
        </w:tc>
        <w:tc>
          <w:tcPr>
            <w:tcW w:w="1800" w:type="dxa"/>
            <w:vAlign w:val="center"/>
          </w:tcPr>
          <w:p>
            <w:pPr>
              <w:spacing w:before="40" w:after="40"/>
              <w:jc w:val="center"/>
            </w:pPr>
            <w:r>
              <w:rPr>
                <w:color w:val="4a5568"/>
                <w:sz w:val="20"/>
              </w:rPr>
              <w:t xml:space="preserve">0.988</w:t>
            </w:r>
          </w:p>
        </w:tc>
        <w:tc>
          <w:tcPr>
            <w:tcW w:w="1800" w:type="dxa"/>
            <w:vAlign w:val="center"/>
          </w:tcPr>
          <w:p>
            <w:pPr>
              <w:spacing w:before="40" w:after="40"/>
              <w:jc w:val="center"/>
            </w:pPr>
            <w:r>
              <w:rPr>
                <w:color w:val="4a5568"/>
                <w:sz w:val="20"/>
              </w:rPr>
              <w:t xml:space="preserve">0.767</w:t>
            </w:r>
          </w:p>
        </w:tc>
      </w:tr>
    </w:tbl>
    <w:p>
      <w:pPr>
        <w:pStyle w:val="Normal"/>
      </w:pPr>
      <w:r>
        <w:t xml:space="preserve">Training completed in 8.748 hours. The model achieved steady, monotonic improvement across all 100 epochs, with no signs of overfitting (final val/train loss ratio: 1.163).</w:t>
      </w:r>
    </w:p>
    <w:p>
      <w:pPr>
        <w:pStyle w:val="Heading3"/>
      </w:pPr>
      <w:r>
        <w:t>5.3.2 Training Progression</w:t>
      </w:r>
    </w:p>
    <w:tbl>
      <w:tblPr>
        <w:tblW w:w="5000" w:type="pct"/>
        <w:tblBorders>
          <w:top w:val="single" w:color="1a365d" w:sz="12"/>
          <w:left w:val="nil"/>
          <w:bottom w:val="single" w:color="1a365d" w:sz="12"/>
          <w:right w:val="nil"/>
          <w:insideH w:val="single" w:color="e2e8f0" w:sz="4"/>
          <w:insideV w:val="nil"/>
        </w:tblBorders>
      </w:tblPr>
      <w:tblGrid>
        <w:gridCol w:w="1800"/>
        <w:gridCol w:w="1800"/>
        <w:gridCol w:w="1800"/>
        <w:gridCol w:w="1800"/>
        <w:gridCol w:w="1800"/>
      </w:tblGrid>
      <w:tr>
        <w:trPr>
          <w:tblHeader/>
        </w:trPr>
        <w:tc>
          <w:tcPr>
            <w:tcW w:w="1800" w:type="dxa"/>
            <w:shd w:val="clear" w:fill="edf2f7"/>
            <w:vAlign w:val="center"/>
          </w:tcPr>
          <w:p>
            <w:pPr>
              <w:spacing w:before="60" w:after="60"/>
              <w:jc w:val="center"/>
            </w:pPr>
            <w:r>
              <w:rPr>
                <w:b/>
                <w:color w:val="1a202c"/>
                <w:sz w:val="20"/>
              </w:rPr>
              <w:t>Epoch</w:t>
            </w:r>
          </w:p>
        </w:tc>
        <w:tc>
          <w:tcPr>
            <w:tcW w:w="1800" w:type="dxa"/>
            <w:shd w:val="clear" w:fill="edf2f7"/>
            <w:vAlign w:val="center"/>
          </w:tcPr>
          <w:p>
            <w:pPr>
              <w:spacing w:before="60" w:after="60"/>
              <w:jc w:val="center"/>
            </w:pPr>
            <w:r>
              <w:rPr>
                <w:b/>
                <w:color w:val="1a202c"/>
                <w:sz w:val="20"/>
              </w:rPr>
              <w:t>mAP@0.5</w:t>
            </w:r>
          </w:p>
        </w:tc>
        <w:tc>
          <w:tcPr>
            <w:tcW w:w="1800" w:type="dxa"/>
            <w:shd w:val="clear" w:fill="edf2f7"/>
            <w:vAlign w:val="center"/>
          </w:tcPr>
          <w:p>
            <w:pPr>
              <w:spacing w:before="60" w:after="60"/>
              <w:jc w:val="center"/>
            </w:pPr>
            <w:r>
              <w:rPr>
                <w:b/>
                <w:color w:val="1a202c"/>
                <w:sz w:val="20"/>
              </w:rPr>
              <w:t>mAP@0.5–0.95</w:t>
            </w:r>
          </w:p>
        </w:tc>
        <w:tc>
          <w:tcPr>
            <w:tcW w:w="1800" w:type="dxa"/>
            <w:shd w:val="clear" w:fill="edf2f7"/>
            <w:vAlign w:val="center"/>
          </w:tcPr>
          <w:p>
            <w:pPr>
              <w:spacing w:before="60" w:after="60"/>
              <w:jc w:val="center"/>
            </w:pPr>
            <w:r>
              <w:rPr>
                <w:b/>
                <w:color w:val="1a202c"/>
                <w:sz w:val="20"/>
              </w:rPr>
              <w:t>Precision</w:t>
            </w:r>
          </w:p>
        </w:tc>
        <w:tc>
          <w:tcPr>
            <w:tcW w:w="1800" w:type="dxa"/>
            <w:shd w:val="clear" w:fill="edf2f7"/>
            <w:vAlign w:val="center"/>
          </w:tcPr>
          <w:p>
            <w:pPr>
              <w:spacing w:before="60" w:after="60"/>
              <w:jc w:val="center"/>
            </w:pPr>
            <w:r>
              <w:rPr>
                <w:b/>
                <w:color w:val="1a202c"/>
                <w:sz w:val="20"/>
              </w:rPr>
              <w:t>Recall</w:t>
            </w:r>
          </w:p>
        </w:tc>
      </w:tr>
      <w:tr>
        <w:tc>
          <w:tcPr>
            <w:tcW w:w="1800" w:type="dxa"/>
            <w:vAlign w:val="center"/>
          </w:tcPr>
          <w:p>
            <w:pPr>
              <w:spacing w:before="40" w:after="40"/>
              <w:jc w:val="center"/>
            </w:pPr>
            <w:r>
              <w:rPr>
                <w:color w:val="4a5568"/>
                <w:sz w:val="20"/>
              </w:rPr>
              <w:t xml:space="preserve">1</w:t>
            </w:r>
          </w:p>
        </w:tc>
        <w:tc>
          <w:tcPr>
            <w:tcW w:w="1800" w:type="dxa"/>
            <w:vAlign w:val="center"/>
          </w:tcPr>
          <w:p>
            <w:pPr>
              <w:spacing w:before="40" w:after="40"/>
              <w:jc w:val="center"/>
            </w:pPr>
            <w:r>
              <w:rPr>
                <w:color w:val="4a5568"/>
                <w:sz w:val="20"/>
              </w:rPr>
              <w:t xml:space="preserve">0.582</w:t>
            </w:r>
          </w:p>
        </w:tc>
        <w:tc>
          <w:tcPr>
            <w:tcW w:w="1800" w:type="dxa"/>
            <w:vAlign w:val="center"/>
          </w:tcPr>
          <w:p>
            <w:pPr>
              <w:spacing w:before="40" w:after="40"/>
              <w:jc w:val="center"/>
            </w:pPr>
            <w:r>
              <w:rPr>
                <w:color w:val="4a5568"/>
                <w:sz w:val="20"/>
              </w:rPr>
              <w:t xml:space="preserve">0.310</w:t>
            </w:r>
          </w:p>
        </w:tc>
        <w:tc>
          <w:tcPr>
            <w:tcW w:w="1800" w:type="dxa"/>
            <w:vAlign w:val="center"/>
          </w:tcPr>
          <w:p>
            <w:pPr>
              <w:spacing w:before="40" w:after="40"/>
              <w:jc w:val="center"/>
            </w:pPr>
            <w:r>
              <w:rPr>
                <w:color w:val="4a5568"/>
                <w:sz w:val="20"/>
              </w:rPr>
              <w:t xml:space="preserve">0.601</w:t>
            </w:r>
          </w:p>
        </w:tc>
        <w:tc>
          <w:tcPr>
            <w:tcW w:w="1800" w:type="dxa"/>
            <w:vAlign w:val="center"/>
          </w:tcPr>
          <w:p>
            <w:pPr>
              <w:spacing w:before="40" w:after="40"/>
              <w:jc w:val="center"/>
            </w:pPr>
            <w:r>
              <w:rPr>
                <w:color w:val="4a5568"/>
                <w:sz w:val="20"/>
              </w:rPr>
              <w:t xml:space="preserve">0.563</w:t>
            </w:r>
          </w:p>
        </w:tc>
      </w:tr>
      <w:tr>
        <w:tc>
          <w:tcPr>
            <w:tcW w:w="1800" w:type="dxa"/>
            <w:vAlign w:val="center"/>
          </w:tcPr>
          <w:p>
            <w:pPr>
              <w:spacing w:before="40" w:after="40"/>
              <w:jc w:val="center"/>
            </w:pPr>
            <w:r>
              <w:rPr>
                <w:color w:val="4a5568"/>
                <w:sz w:val="20"/>
              </w:rPr>
              <w:t xml:space="preserve">10</w:t>
            </w:r>
          </w:p>
        </w:tc>
        <w:tc>
          <w:tcPr>
            <w:tcW w:w="1800" w:type="dxa"/>
            <w:vAlign w:val="center"/>
          </w:tcPr>
          <w:p>
            <w:pPr>
              <w:spacing w:before="40" w:after="40"/>
              <w:jc w:val="center"/>
            </w:pPr>
            <w:r>
              <w:rPr>
                <w:color w:val="4a5568"/>
                <w:sz w:val="20"/>
              </w:rPr>
              <w:t xml:space="preserve">0.953</w:t>
            </w:r>
          </w:p>
        </w:tc>
        <w:tc>
          <w:tcPr>
            <w:tcW w:w="1800" w:type="dxa"/>
            <w:vAlign w:val="center"/>
          </w:tcPr>
          <w:p>
            <w:pPr>
              <w:spacing w:before="40" w:after="40"/>
              <w:jc w:val="center"/>
            </w:pPr>
            <w:r>
              <w:rPr>
                <w:color w:val="4a5568"/>
                <w:sz w:val="20"/>
              </w:rPr>
              <w:t xml:space="preserve">0.609</w:t>
            </w:r>
          </w:p>
        </w:tc>
        <w:tc>
          <w:tcPr>
            <w:tcW w:w="1800" w:type="dxa"/>
            <w:vAlign w:val="center"/>
          </w:tcPr>
          <w:p>
            <w:pPr>
              <w:spacing w:before="40" w:after="40"/>
              <w:jc w:val="center"/>
            </w:pPr>
            <w:r>
              <w:rPr>
                <w:color w:val="4a5568"/>
                <w:sz w:val="20"/>
              </w:rPr>
              <w:t xml:space="preserve">0.920</w:t>
            </w:r>
          </w:p>
        </w:tc>
        <w:tc>
          <w:tcPr>
            <w:tcW w:w="1800" w:type="dxa"/>
            <w:vAlign w:val="center"/>
          </w:tcPr>
          <w:p>
            <w:pPr>
              <w:spacing w:before="40" w:after="40"/>
              <w:jc w:val="center"/>
            </w:pPr>
            <w:r>
              <w:rPr>
                <w:color w:val="4a5568"/>
                <w:sz w:val="20"/>
              </w:rPr>
              <w:t xml:space="preserve">0.899</w:t>
            </w:r>
          </w:p>
        </w:tc>
      </w:tr>
      <w:tr>
        <w:tc>
          <w:tcPr>
            <w:tcW w:w="1800" w:type="dxa"/>
            <w:vAlign w:val="center"/>
          </w:tcPr>
          <w:p>
            <w:pPr>
              <w:spacing w:before="40" w:after="40"/>
              <w:jc w:val="center"/>
            </w:pPr>
            <w:r>
              <w:rPr>
                <w:color w:val="4a5568"/>
                <w:sz w:val="20"/>
              </w:rPr>
              <w:t xml:space="preserve">25</w:t>
            </w:r>
          </w:p>
        </w:tc>
        <w:tc>
          <w:tcPr>
            <w:tcW w:w="1800" w:type="dxa"/>
            <w:vAlign w:val="center"/>
          </w:tcPr>
          <w:p>
            <w:pPr>
              <w:spacing w:before="40" w:after="40"/>
              <w:jc w:val="center"/>
            </w:pPr>
            <w:r>
              <w:rPr>
                <w:color w:val="4a5568"/>
                <w:sz w:val="20"/>
              </w:rPr>
              <w:t xml:space="preserve">0.967</w:t>
            </w:r>
          </w:p>
        </w:tc>
        <w:tc>
          <w:tcPr>
            <w:tcW w:w="1800" w:type="dxa"/>
            <w:vAlign w:val="center"/>
          </w:tcPr>
          <w:p>
            <w:pPr>
              <w:spacing w:before="40" w:after="40"/>
              <w:jc w:val="center"/>
            </w:pPr>
            <w:r>
              <w:rPr>
                <w:color w:val="4a5568"/>
                <w:sz w:val="20"/>
              </w:rPr>
              <w:t xml:space="preserve">0.675</w:t>
            </w:r>
          </w:p>
        </w:tc>
        <w:tc>
          <w:tcPr>
            <w:tcW w:w="1800" w:type="dxa"/>
            <w:vAlign w:val="center"/>
          </w:tcPr>
          <w:p>
            <w:pPr>
              <w:spacing w:before="40" w:after="40"/>
              <w:jc w:val="center"/>
            </w:pPr>
            <w:r>
              <w:rPr>
                <w:color w:val="4a5568"/>
                <w:sz w:val="20"/>
              </w:rPr>
              <w:t xml:space="preserve">0.931</w:t>
            </w:r>
          </w:p>
        </w:tc>
        <w:tc>
          <w:tcPr>
            <w:tcW w:w="1800" w:type="dxa"/>
            <w:vAlign w:val="center"/>
          </w:tcPr>
          <w:p>
            <w:pPr>
              <w:spacing w:before="40" w:after="40"/>
              <w:jc w:val="center"/>
            </w:pPr>
            <w:r>
              <w:rPr>
                <w:color w:val="4a5568"/>
                <w:sz w:val="20"/>
              </w:rPr>
              <w:t xml:space="preserve">0.923</w:t>
            </w:r>
          </w:p>
        </w:tc>
      </w:tr>
      <w:tr>
        <w:tc>
          <w:tcPr>
            <w:tcW w:w="1800" w:type="dxa"/>
            <w:vAlign w:val="center"/>
          </w:tcPr>
          <w:p>
            <w:pPr>
              <w:spacing w:before="40" w:after="40"/>
              <w:jc w:val="center"/>
            </w:pPr>
            <w:r>
              <w:rPr>
                <w:color w:val="4a5568"/>
                <w:sz w:val="20"/>
              </w:rPr>
              <w:t xml:space="preserve">50</w:t>
            </w:r>
          </w:p>
        </w:tc>
        <w:tc>
          <w:tcPr>
            <w:tcW w:w="1800" w:type="dxa"/>
            <w:vAlign w:val="center"/>
          </w:tcPr>
          <w:p>
            <w:pPr>
              <w:spacing w:before="40" w:after="40"/>
              <w:jc w:val="center"/>
            </w:pPr>
            <w:r>
              <w:rPr>
                <w:color w:val="4a5568"/>
                <w:sz w:val="20"/>
              </w:rPr>
              <w:t xml:space="preserve">0.968</w:t>
            </w:r>
          </w:p>
        </w:tc>
        <w:tc>
          <w:tcPr>
            <w:tcW w:w="1800" w:type="dxa"/>
            <w:vAlign w:val="center"/>
          </w:tcPr>
          <w:p>
            <w:pPr>
              <w:spacing w:before="40" w:after="40"/>
              <w:jc w:val="center"/>
            </w:pPr>
            <w:r>
              <w:rPr>
                <w:color w:val="4a5568"/>
                <w:sz w:val="20"/>
              </w:rPr>
              <w:t xml:space="preserve">0.715</w:t>
            </w:r>
          </w:p>
        </w:tc>
        <w:tc>
          <w:tcPr>
            <w:tcW w:w="1800" w:type="dxa"/>
            <w:vAlign w:val="center"/>
          </w:tcPr>
          <w:p>
            <w:pPr>
              <w:spacing w:before="40" w:after="40"/>
              <w:jc w:val="center"/>
            </w:pPr>
            <w:r>
              <w:rPr>
                <w:color w:val="4a5568"/>
                <w:sz w:val="20"/>
              </w:rPr>
              <w:t xml:space="preserve">0.929</w:t>
            </w:r>
          </w:p>
        </w:tc>
        <w:tc>
          <w:tcPr>
            <w:tcW w:w="1800" w:type="dxa"/>
            <w:vAlign w:val="center"/>
          </w:tcPr>
          <w:p>
            <w:pPr>
              <w:spacing w:before="40" w:after="40"/>
              <w:jc w:val="center"/>
            </w:pPr>
            <w:r>
              <w:rPr>
                <w:color w:val="4a5568"/>
                <w:sz w:val="20"/>
              </w:rPr>
              <w:t xml:space="preserve">0.931</w:t>
            </w:r>
          </w:p>
        </w:tc>
      </w:tr>
      <w:tr>
        <w:tc>
          <w:tcPr>
            <w:tcW w:w="1800" w:type="dxa"/>
            <w:vAlign w:val="center"/>
          </w:tcPr>
          <w:p>
            <w:pPr>
              <w:spacing w:before="40" w:after="40"/>
              <w:jc w:val="center"/>
            </w:pPr>
            <w:r>
              <w:rPr>
                <w:color w:val="4a5568"/>
                <w:sz w:val="20"/>
              </w:rPr>
              <w:t xml:space="preserve">75</w:t>
            </w:r>
          </w:p>
        </w:tc>
        <w:tc>
          <w:tcPr>
            <w:tcW w:w="1800" w:type="dxa"/>
            <w:vAlign w:val="center"/>
          </w:tcPr>
          <w:p>
            <w:pPr>
              <w:spacing w:before="40" w:after="40"/>
              <w:jc w:val="center"/>
            </w:pPr>
            <w:r>
              <w:rPr>
                <w:color w:val="4a5568"/>
                <w:sz w:val="20"/>
              </w:rPr>
              <w:t xml:space="preserve">0.983</w:t>
            </w:r>
          </w:p>
        </w:tc>
        <w:tc>
          <w:tcPr>
            <w:tcW w:w="1800" w:type="dxa"/>
            <w:vAlign w:val="center"/>
          </w:tcPr>
          <w:p>
            <w:pPr>
              <w:spacing w:before="40" w:after="40"/>
              <w:jc w:val="center"/>
            </w:pPr>
            <w:r>
              <w:rPr>
                <w:color w:val="4a5568"/>
                <w:sz w:val="20"/>
              </w:rPr>
              <w:t xml:space="preserve">0.756</w:t>
            </w:r>
          </w:p>
        </w:tc>
        <w:tc>
          <w:tcPr>
            <w:tcW w:w="1800" w:type="dxa"/>
            <w:vAlign w:val="center"/>
          </w:tcPr>
          <w:p>
            <w:pPr>
              <w:spacing w:before="40" w:after="40"/>
              <w:jc w:val="center"/>
            </w:pPr>
            <w:r>
              <w:rPr>
                <w:color w:val="4a5568"/>
                <w:sz w:val="20"/>
              </w:rPr>
              <w:t xml:space="preserve">0.959</w:t>
            </w:r>
          </w:p>
        </w:tc>
        <w:tc>
          <w:tcPr>
            <w:tcW w:w="1800" w:type="dxa"/>
            <w:vAlign w:val="center"/>
          </w:tcPr>
          <w:p>
            <w:pPr>
              <w:spacing w:before="40" w:after="40"/>
              <w:jc w:val="center"/>
            </w:pPr>
            <w:r>
              <w:rPr>
                <w:color w:val="4a5568"/>
                <w:sz w:val="20"/>
              </w:rPr>
              <w:t xml:space="preserve">0.949</w:t>
            </w:r>
          </w:p>
        </w:tc>
      </w:tr>
      <w:tr>
        <w:tc>
          <w:tcPr>
            <w:tcW w:w="1800" w:type="dxa"/>
            <w:vAlign w:val="center"/>
          </w:tcPr>
          <w:p>
            <w:pPr>
              <w:spacing w:before="40" w:after="40"/>
              <w:jc w:val="center"/>
            </w:pPr>
            <w:r>
              <w:rPr>
                <w:color w:val="4a5568"/>
                <w:sz w:val="20"/>
              </w:rPr>
              <w:t xml:space="preserve">100</w:t>
            </w:r>
          </w:p>
        </w:tc>
        <w:tc>
          <w:tcPr>
            <w:tcW w:w="1800" w:type="dxa"/>
            <w:vAlign w:val="center"/>
          </w:tcPr>
          <w:p>
            <w:pPr>
              <w:spacing w:before="40" w:after="40"/>
              <w:jc w:val="center"/>
            </w:pPr>
            <w:r>
              <w:rPr>
                <w:color w:val="4a5568"/>
                <w:sz w:val="20"/>
              </w:rPr>
              <w:t xml:space="preserve">0.985</w:t>
            </w:r>
          </w:p>
        </w:tc>
        <w:tc>
          <w:tcPr>
            <w:tcW w:w="1800" w:type="dxa"/>
            <w:vAlign w:val="center"/>
          </w:tcPr>
          <w:p>
            <w:pPr>
              <w:spacing w:before="40" w:after="40"/>
              <w:jc w:val="center"/>
            </w:pPr>
            <w:r>
              <w:rPr>
                <w:color w:val="4a5568"/>
                <w:sz w:val="20"/>
              </w:rPr>
              <w:t xml:space="preserve">0.774</w:t>
            </w:r>
          </w:p>
        </w:tc>
        <w:tc>
          <w:tcPr>
            <w:tcW w:w="1800" w:type="dxa"/>
            <w:vAlign w:val="center"/>
          </w:tcPr>
          <w:p>
            <w:pPr>
              <w:spacing w:before="40" w:after="40"/>
              <w:jc w:val="center"/>
            </w:pPr>
            <w:r>
              <w:rPr>
                <w:color w:val="4a5568"/>
                <w:sz w:val="20"/>
              </w:rPr>
              <w:t xml:space="preserve">0.962</w:t>
            </w:r>
          </w:p>
        </w:tc>
        <w:tc>
          <w:tcPr>
            <w:tcW w:w="1800" w:type="dxa"/>
            <w:vAlign w:val="center"/>
          </w:tcPr>
          <w:p>
            <w:pPr>
              <w:spacing w:before="40" w:after="40"/>
              <w:jc w:val="center"/>
            </w:pPr>
            <w:r>
              <w:rPr>
                <w:color w:val="4a5568"/>
                <w:sz w:val="20"/>
              </w:rPr>
              <w:t xml:space="preserve">0.954</w:t>
            </w:r>
          </w:p>
        </w:tc>
      </w:tr>
    </w:tbl>
    <w:p>
      <w:pPr>
        <w:keepNext/>
        <w:spacing w:before="200" w:after="80"/>
        <w:jc w:val="center"/>
      </w:pPr>
      <w:r>
        <w:drawing>
          <wp:inline distT="0" distB="0" distL="0" distR="0">
            <wp:extent cx="5400000" cy="3085714"/>
            <wp:effectExtent l="0" t="0" r="0" b="0"/>
            <wp:docPr id="5" name="YOLO Training Progression"/>
            <wp:cNvGraphicFramePr>
              <a:graphicFrameLocks noChangeAspect="1"/>
            </wp:cNvGraphicFramePr>
            <a:graphic>
              <a:graphicData uri="http://schemas.openxmlformats.org/drawingml/2006/picture">
                <pic:pic>
                  <pic:nvPicPr>
                    <pic:cNvPr id="0" name="YOLO Training Progression.png"/>
                    <pic:cNvPicPr/>
                  </pic:nvPicPr>
                  <pic:blipFill>
                    <a:blip r:embed="R951795ce8c3c4ffd"/>
                    <a:stretch>
                      <a:fillRect/>
                    </a:stretch>
                  </pic:blipFill>
                  <pic:spPr>
                    <a:xfrm>
                      <a:off x="0" y="0"/>
                      <a:ext cx="5400000" cy="3085714"/>
                    </a:xfrm>
                    <a:prstGeom prst="rect"/>
                  </pic:spPr>
                </pic:pic>
              </a:graphicData>
            </a:graphic>
          </wp:inline>
        </w:drawing>
      </w:r>
    </w:p>
    <w:p>
      <w:pPr>
        <w:pStyle w:val="Caption"/>
      </w:pPr>
      <w:r>
        <w:t>Figure 4: YOLOv11s Training Progression Over 100 Epochs</w:t>
      </w:r>
    </w:p>
    <w:p>
      <w:pPr>
        <w:pStyle w:val="Heading2"/>
      </w:pPr>
      <w:r>
        <w:t>5.4 Comparison with Reference Studies</w:t>
      </w:r>
    </w:p>
    <w:tbl>
      <w:tblPr>
        <w:tblW w:w="5000" w:type="pct"/>
        <w:tblBorders>
          <w:top w:val="single" w:color="1a365d" w:sz="12"/>
          <w:left w:val="nil"/>
          <w:bottom w:val="single" w:color="1a365d" w:sz="12"/>
          <w:right w:val="nil"/>
          <w:insideH w:val="single" w:color="e2e8f0" w:sz="4"/>
          <w:insideV w:val="nil"/>
        </w:tblBorders>
      </w:tblPr>
      <w:tblGrid>
        <w:gridCol w:w="1500"/>
        <w:gridCol w:w="1500"/>
        <w:gridCol w:w="1500"/>
        <w:gridCol w:w="1500"/>
        <w:gridCol w:w="1500"/>
        <w:gridCol w:w="1500"/>
      </w:tblGrid>
      <w:tr>
        <w:trPr>
          <w:tblHeader/>
        </w:trPr>
        <w:tc>
          <w:tcPr>
            <w:tcW w:w="1500" w:type="dxa"/>
            <w:shd w:val="clear" w:fill="edf2f7"/>
            <w:vAlign w:val="center"/>
          </w:tcPr>
          <w:p>
            <w:pPr>
              <w:spacing w:before="60" w:after="60"/>
              <w:jc w:val="center"/>
            </w:pPr>
            <w:r>
              <w:rPr>
                <w:b/>
                <w:color w:val="1a202c"/>
                <w:sz w:val="20"/>
              </w:rPr>
              <w:t>Method</w:t>
            </w:r>
          </w:p>
        </w:tc>
        <w:tc>
          <w:tcPr>
            <w:tcW w:w="1500" w:type="dxa"/>
            <w:shd w:val="clear" w:fill="edf2f7"/>
            <w:vAlign w:val="center"/>
          </w:tcPr>
          <w:p>
            <w:pPr>
              <w:spacing w:before="60" w:after="60"/>
              <w:jc w:val="center"/>
            </w:pPr>
            <w:r>
              <w:rPr>
                <w:b/>
                <w:color w:val="1a202c"/>
                <w:sz w:val="20"/>
              </w:rPr>
              <w:t>Dataset</w:t>
            </w:r>
          </w:p>
        </w:tc>
        <w:tc>
          <w:tcPr>
            <w:tcW w:w="1500" w:type="dxa"/>
            <w:shd w:val="clear" w:fill="edf2f7"/>
            <w:vAlign w:val="center"/>
          </w:tcPr>
          <w:p>
            <w:pPr>
              <w:spacing w:before="60" w:after="60"/>
              <w:jc w:val="center"/>
            </w:pPr>
            <w:r>
              <w:rPr>
                <w:b/>
                <w:color w:val="1a202c"/>
                <w:sz w:val="20"/>
              </w:rPr>
              <w:t>mAP@0.5</w:t>
            </w:r>
          </w:p>
        </w:tc>
        <w:tc>
          <w:tcPr>
            <w:tcW w:w="1500" w:type="dxa"/>
            <w:shd w:val="clear" w:fill="edf2f7"/>
            <w:vAlign w:val="center"/>
          </w:tcPr>
          <w:p>
            <w:pPr>
              <w:spacing w:before="60" w:after="60"/>
              <w:jc w:val="center"/>
            </w:pPr>
            <w:r>
              <w:rPr>
                <w:b/>
                <w:color w:val="1a202c"/>
                <w:sz w:val="20"/>
              </w:rPr>
              <w:t>Precision</w:t>
            </w:r>
          </w:p>
        </w:tc>
        <w:tc>
          <w:tcPr>
            <w:tcW w:w="1500" w:type="dxa"/>
            <w:shd w:val="clear" w:fill="edf2f7"/>
            <w:vAlign w:val="center"/>
          </w:tcPr>
          <w:p>
            <w:pPr>
              <w:spacing w:before="60" w:after="60"/>
              <w:jc w:val="center"/>
            </w:pPr>
            <w:r>
              <w:rPr>
                <w:b/>
                <w:color w:val="1a202c"/>
                <w:sz w:val="20"/>
              </w:rPr>
              <w:t>Recall</w:t>
            </w:r>
          </w:p>
        </w:tc>
        <w:tc>
          <w:tcPr>
            <w:tcW w:w="1500" w:type="dxa"/>
            <w:shd w:val="clear" w:fill="edf2f7"/>
            <w:vAlign w:val="center"/>
          </w:tcPr>
          <w:p>
            <w:pPr>
              <w:spacing w:before="60" w:after="60"/>
              <w:jc w:val="center"/>
            </w:pPr>
            <w:r>
              <w:rPr>
                <w:b/>
                <w:color w:val="1a202c"/>
                <w:sz w:val="20"/>
              </w:rPr>
              <w:t>Approach</w:t>
            </w:r>
          </w:p>
        </w:tc>
      </w:tr>
      <w:tr>
        <w:tc>
          <w:tcPr>
            <w:tcW w:w="1500" w:type="dxa"/>
            <w:vAlign w:val="center"/>
          </w:tcPr>
          <w:p>
            <w:pPr>
              <w:spacing w:before="40" w:after="40"/>
              <w:jc w:val="center"/>
            </w:pPr>
            <w:r>
              <w:rPr>
                <w:color w:val="4a5568"/>
                <w:sz w:val="20"/>
              </w:rPr>
              <w:t xml:space="preserve">AI-FireGuard (Ours)</w:t>
            </w:r>
          </w:p>
        </w:tc>
        <w:tc>
          <w:tcPr>
            <w:tcW w:w="1500" w:type="dxa"/>
            <w:vAlign w:val="center"/>
          </w:tcPr>
          <w:p>
            <w:pPr>
              <w:spacing w:before="40" w:after="40"/>
              <w:jc w:val="center"/>
            </w:pPr>
            <w:r>
              <w:rPr>
                <w:color w:val="4a5568"/>
                <w:sz w:val="20"/>
              </w:rPr>
              <w:t xml:space="preserve">FLAME-2 (IR)</w:t>
            </w:r>
          </w:p>
        </w:tc>
        <w:tc>
          <w:tcPr>
            <w:tcW w:w="1500" w:type="dxa"/>
            <w:vAlign w:val="center"/>
          </w:tcPr>
          <w:p>
            <w:pPr>
              <w:spacing w:before="40" w:after="40"/>
              <w:jc w:val="center"/>
            </w:pPr>
            <w:r>
              <w:rPr>
                <w:color w:val="4a5568"/>
                <w:sz w:val="20"/>
              </w:rPr>
              <w:t xml:space="preserve">0.985</w:t>
            </w:r>
          </w:p>
        </w:tc>
        <w:tc>
          <w:tcPr>
            <w:tcW w:w="1500" w:type="dxa"/>
            <w:vAlign w:val="center"/>
          </w:tcPr>
          <w:p>
            <w:pPr>
              <w:spacing w:before="40" w:after="40"/>
              <w:jc w:val="center"/>
            </w:pPr>
            <w:r>
              <w:rPr>
                <w:color w:val="4a5568"/>
                <w:sz w:val="20"/>
              </w:rPr>
              <w:t xml:space="preserve">0.962</w:t>
            </w:r>
          </w:p>
        </w:tc>
        <w:tc>
          <w:tcPr>
            <w:tcW w:w="1500" w:type="dxa"/>
            <w:vAlign w:val="center"/>
          </w:tcPr>
          <w:p>
            <w:pPr>
              <w:spacing w:before="40" w:after="40"/>
              <w:jc w:val="center"/>
            </w:pPr>
            <w:r>
              <w:rPr>
                <w:color w:val="4a5568"/>
                <w:sz w:val="20"/>
              </w:rPr>
              <w:t xml:space="preserve">0.954</w:t>
            </w:r>
          </w:p>
        </w:tc>
        <w:tc>
          <w:tcPr>
            <w:tcW w:w="1500" w:type="dxa"/>
            <w:vAlign w:val="center"/>
          </w:tcPr>
          <w:p>
            <w:pPr>
              <w:spacing w:before="40" w:after="40"/>
              <w:jc w:val="center"/>
            </w:pPr>
            <w:r>
              <w:rPr>
                <w:color w:val="4a5568"/>
                <w:sz w:val="20"/>
              </w:rPr>
              <w:t xml:space="preserve">Autoencoder + YOLOv11s</w:t>
            </w:r>
          </w:p>
        </w:tc>
      </w:tr>
      <w:tr>
        <w:tc>
          <w:tcPr>
            <w:tcW w:w="1500" w:type="dxa"/>
            <w:vAlign w:val="center"/>
          </w:tcPr>
          <w:p>
            <w:pPr>
              <w:spacing w:before="40" w:after="40"/>
              <w:jc w:val="center"/>
            </w:pPr>
            <w:r>
              <w:rPr>
                <w:color w:val="4a5568"/>
                <w:sz w:val="20"/>
              </w:rPr>
              <w:t xml:space="preserve">LP-YOLO</w:t>
            </w:r>
          </w:p>
        </w:tc>
        <w:tc>
          <w:tcPr>
            <w:tcW w:w="1500" w:type="dxa"/>
            <w:vAlign w:val="center"/>
          </w:tcPr>
          <w:p>
            <w:pPr>
              <w:spacing w:before="40" w:after="40"/>
              <w:jc w:val="center"/>
            </w:pPr>
            <w:r>
              <w:rPr>
                <w:color w:val="4a5568"/>
                <w:sz w:val="20"/>
              </w:rPr>
              <w:t xml:space="preserve">D-Fire/FIRESENSE</w:t>
            </w:r>
          </w:p>
        </w:tc>
        <w:tc>
          <w:tcPr>
            <w:tcW w:w="1500" w:type="dxa"/>
            <w:vAlign w:val="center"/>
          </w:tcPr>
          <w:p>
            <w:pPr>
              <w:spacing w:before="40" w:after="40"/>
              <w:jc w:val="center"/>
            </w:pPr>
            <w:r>
              <w:rPr>
                <w:color w:val="4a5568"/>
                <w:sz w:val="20"/>
              </w:rPr>
              <w:t xml:space="preserve">&gt;0.82</w:t>
            </w:r>
          </w:p>
        </w:tc>
        <w:tc>
          <w:tcPr>
            <w:tcW w:w="1500" w:type="dxa"/>
            <w:vAlign w:val="center"/>
          </w:tcPr>
          <w:p>
            <w:pPr>
              <w:spacing w:before="40" w:after="40"/>
              <w:jc w:val="center"/>
            </w:pPr>
            <w:r>
              <w:rPr>
                <w:color w:val="4a5568"/>
                <w:sz w:val="20"/>
              </w:rPr>
              <w:t xml:space="preserve">&gt;0.82</w:t>
            </w:r>
          </w:p>
        </w:tc>
        <w:tc>
          <w:tcPr>
            <w:tcW w:w="1500" w:type="dxa"/>
            <w:vAlign w:val="center"/>
          </w:tcPr>
          <w:p>
            <w:pPr>
              <w:spacing w:before="40" w:after="40"/>
              <w:jc w:val="center"/>
            </w:pPr>
            <w:r>
              <w:rPr>
                <w:color w:val="4a5568"/>
                <w:sz w:val="20"/>
              </w:rPr>
              <w:t xml:space="preserve">—</w:t>
            </w:r>
          </w:p>
        </w:tc>
        <w:tc>
          <w:tcPr>
            <w:tcW w:w="1500" w:type="dxa"/>
            <w:vAlign w:val="center"/>
          </w:tcPr>
          <w:p>
            <w:pPr>
              <w:spacing w:before="40" w:after="40"/>
              <w:jc w:val="center"/>
            </w:pPr>
            <w:r>
              <w:rPr>
                <w:color w:val="4a5568"/>
                <w:sz w:val="20"/>
              </w:rPr>
              <w:t xml:space="preserve">YOLOv8+WTConv+BiFPN</w:t>
            </w:r>
          </w:p>
        </w:tc>
      </w:tr>
      <w:tr>
        <w:tc>
          <w:tcPr>
            <w:tcW w:w="1500" w:type="dxa"/>
            <w:vAlign w:val="center"/>
          </w:tcPr>
          <w:p>
            <w:pPr>
              <w:spacing w:before="40" w:after="40"/>
              <w:jc w:val="center"/>
            </w:pPr>
            <w:r>
              <w:rPr>
                <w:color w:val="4a5568"/>
                <w:sz w:val="20"/>
              </w:rPr>
              <w:t xml:space="preserve">AEFRN</w:t>
            </w:r>
          </w:p>
        </w:tc>
        <w:tc>
          <w:tcPr>
            <w:tcW w:w="1500" w:type="dxa"/>
            <w:vAlign w:val="center"/>
          </w:tcPr>
          <w:p>
            <w:pPr>
              <w:spacing w:before="40" w:after="40"/>
              <w:jc w:val="center"/>
            </w:pPr>
            <w:r>
              <w:rPr>
                <w:color w:val="4a5568"/>
                <w:sz w:val="20"/>
              </w:rPr>
              <w:t xml:space="preserve">FD/BoWFire</w:t>
            </w:r>
          </w:p>
        </w:tc>
        <w:tc>
          <w:tcPr>
            <w:tcW w:w="1500" w:type="dxa"/>
            <w:vAlign w:val="center"/>
          </w:tcPr>
          <w:p>
            <w:pPr>
              <w:spacing w:before="40" w:after="40"/>
              <w:jc w:val="center"/>
            </w:pPr>
            <w:r>
              <w:rPr>
                <w:color w:val="4a5568"/>
                <w:sz w:val="20"/>
              </w:rPr>
              <w:t xml:space="preserve">—</w:t>
            </w:r>
          </w:p>
        </w:tc>
        <w:tc>
          <w:tcPr>
            <w:tcW w:w="1500" w:type="dxa"/>
            <w:vAlign w:val="center"/>
          </w:tcPr>
          <w:p>
            <w:pPr>
              <w:spacing w:before="40" w:after="40"/>
              <w:jc w:val="center"/>
            </w:pPr>
            <w:r>
              <w:rPr>
                <w:color w:val="4a5568"/>
                <w:sz w:val="20"/>
              </w:rPr>
              <w:t xml:space="preserve">0.991</w:t>
            </w:r>
          </w:p>
        </w:tc>
        <w:tc>
          <w:tcPr>
            <w:tcW w:w="1500" w:type="dxa"/>
            <w:vAlign w:val="center"/>
          </w:tcPr>
          <w:p>
            <w:pPr>
              <w:spacing w:before="40" w:after="40"/>
              <w:jc w:val="center"/>
            </w:pPr>
            <w:r>
              <w:rPr>
                <w:color w:val="4a5568"/>
                <w:sz w:val="20"/>
              </w:rPr>
              <w:t xml:space="preserve">0.998</w:t>
            </w:r>
          </w:p>
        </w:tc>
        <w:tc>
          <w:tcPr>
            <w:tcW w:w="1500" w:type="dxa"/>
            <w:vAlign w:val="center"/>
          </w:tcPr>
          <w:p>
            <w:pPr>
              <w:spacing w:before="40" w:after="40"/>
              <w:jc w:val="center"/>
            </w:pPr>
            <w:r>
              <w:rPr>
                <w:color w:val="4a5568"/>
                <w:sz w:val="20"/>
              </w:rPr>
              <w:t xml:space="preserve">Multi-attention classifier</w:t>
            </w:r>
          </w:p>
        </w:tc>
      </w:tr>
      <w:tr>
        <w:tc>
          <w:tcPr>
            <w:tcW w:w="1500" w:type="dxa"/>
            <w:vAlign w:val="center"/>
          </w:tcPr>
          <w:p>
            <w:pPr>
              <w:spacing w:before="40" w:after="40"/>
              <w:jc w:val="center"/>
            </w:pPr>
            <w:r>
              <w:rPr>
                <w:color w:val="4a5568"/>
                <w:sz w:val="20"/>
              </w:rPr>
              <w:t xml:space="preserve">FireVision (ResNet-101)</w:t>
            </w:r>
          </w:p>
        </w:tc>
        <w:tc>
          <w:tcPr>
            <w:tcW w:w="1500" w:type="dxa"/>
            <w:vAlign w:val="center"/>
          </w:tcPr>
          <w:p>
            <w:pPr>
              <w:spacing w:before="40" w:after="40"/>
              <w:jc w:val="center"/>
            </w:pPr>
            <w:r>
              <w:rPr>
                <w:color w:val="4a5568"/>
                <w:sz w:val="20"/>
              </w:rPr>
              <w:t xml:space="preserve">Custom 12K</w:t>
            </w:r>
          </w:p>
        </w:tc>
        <w:tc>
          <w:tcPr>
            <w:tcW w:w="1500" w:type="dxa"/>
            <w:vAlign w:val="center"/>
          </w:tcPr>
          <w:p>
            <w:pPr>
              <w:spacing w:before="40" w:after="40"/>
              <w:jc w:val="center"/>
            </w:pPr>
            <w:r>
              <w:rPr>
                <w:color w:val="4a5568"/>
                <w:sz w:val="20"/>
              </w:rPr>
              <w:t xml:space="preserve">0.646 (Mask)</w:t>
            </w:r>
          </w:p>
        </w:tc>
        <w:tc>
          <w:tcPr>
            <w:tcW w:w="1500" w:type="dxa"/>
            <w:vAlign w:val="center"/>
          </w:tcPr>
          <w:p>
            <w:pPr>
              <w:spacing w:before="40" w:after="40"/>
              <w:jc w:val="center"/>
            </w:pPr>
            <w:r>
              <w:rPr>
                <w:color w:val="4a5568"/>
                <w:sz w:val="20"/>
              </w:rPr>
              <w:t xml:space="preserve">—</w:t>
            </w:r>
          </w:p>
        </w:tc>
        <w:tc>
          <w:tcPr>
            <w:tcW w:w="1500" w:type="dxa"/>
            <w:vAlign w:val="center"/>
          </w:tcPr>
          <w:p>
            <w:pPr>
              <w:spacing w:before="40" w:after="40"/>
              <w:jc w:val="center"/>
            </w:pPr>
            <w:r>
              <w:rPr>
                <w:color w:val="4a5568"/>
                <w:sz w:val="20"/>
              </w:rPr>
              <w:t xml:space="preserve">—</w:t>
            </w:r>
          </w:p>
        </w:tc>
        <w:tc>
          <w:tcPr>
            <w:tcW w:w="1500" w:type="dxa"/>
            <w:vAlign w:val="center"/>
          </w:tcPr>
          <w:p>
            <w:pPr>
              <w:spacing w:before="40" w:after="40"/>
              <w:jc w:val="center"/>
            </w:pPr>
            <w:r>
              <w:rPr>
                <w:color w:val="4a5568"/>
                <w:sz w:val="20"/>
              </w:rPr>
              <w:t xml:space="preserve">Mask R-CNN ensemble</w:t>
            </w:r>
          </w:p>
        </w:tc>
      </w:tr>
      <w:tr>
        <w:tc>
          <w:tcPr>
            <w:tcW w:w="1500" w:type="dxa"/>
            <w:vAlign w:val="center"/>
          </w:tcPr>
          <w:p>
            <w:pPr>
              <w:spacing w:before="40" w:after="40"/>
              <w:jc w:val="center"/>
            </w:pPr>
            <w:r>
              <w:rPr>
                <w:color w:val="4a5568"/>
                <w:sz w:val="20"/>
              </w:rPr>
              <w:t xml:space="preserve">RGBT-3M Study</w:t>
            </w:r>
          </w:p>
        </w:tc>
        <w:tc>
          <w:tcPr>
            <w:tcW w:w="1500" w:type="dxa"/>
            <w:vAlign w:val="center"/>
          </w:tcPr>
          <w:p>
            <w:pPr>
              <w:spacing w:before="40" w:after="40"/>
              <w:jc w:val="center"/>
            </w:pPr>
            <w:r>
              <w:rPr>
                <w:color w:val="4a5568"/>
                <w:sz w:val="20"/>
              </w:rPr>
              <w:t xml:space="preserve">RGBT-3M</w:t>
            </w:r>
          </w:p>
        </w:tc>
        <w:tc>
          <w:tcPr>
            <w:tcW w:w="1500" w:type="dxa"/>
            <w:vAlign w:val="center"/>
          </w:tcPr>
          <w:p>
            <w:pPr>
              <w:spacing w:before="40" w:after="40"/>
              <w:jc w:val="center"/>
            </w:pPr>
            <w:r>
              <w:rPr>
                <w:color w:val="4a5568"/>
                <w:sz w:val="20"/>
              </w:rPr>
              <w:t xml:space="preserve">0.963</w:t>
            </w:r>
          </w:p>
        </w:tc>
        <w:tc>
          <w:tcPr>
            <w:tcW w:w="1500" w:type="dxa"/>
            <w:vAlign w:val="center"/>
          </w:tcPr>
          <w:p>
            <w:pPr>
              <w:spacing w:before="40" w:after="40"/>
              <w:jc w:val="center"/>
            </w:pPr>
            <w:r>
              <w:rPr>
                <w:color w:val="4a5568"/>
                <w:sz w:val="20"/>
              </w:rPr>
              <w:t xml:space="preserve">0.925</w:t>
            </w:r>
          </w:p>
        </w:tc>
        <w:tc>
          <w:tcPr>
            <w:tcW w:w="1500" w:type="dxa"/>
            <w:vAlign w:val="center"/>
          </w:tcPr>
          <w:p>
            <w:pPr>
              <w:spacing w:before="40" w:after="40"/>
              <w:jc w:val="center"/>
            </w:pPr>
            <w:r>
              <w:rPr>
                <w:color w:val="4a5568"/>
                <w:sz w:val="20"/>
              </w:rPr>
              <w:t xml:space="preserve">0.935</w:t>
            </w:r>
          </w:p>
        </w:tc>
        <w:tc>
          <w:tcPr>
            <w:tcW w:w="1500" w:type="dxa"/>
            <w:vAlign w:val="center"/>
          </w:tcPr>
          <w:p>
            <w:pPr>
              <w:spacing w:before="40" w:after="40"/>
              <w:jc w:val="center"/>
            </w:pPr>
            <w:r>
              <w:rPr>
                <w:color w:val="4a5568"/>
                <w:sz w:val="20"/>
              </w:rPr>
              <w:t xml:space="preserve">YOLOv11+Cross-Modal Attn.</w:t>
            </w:r>
          </w:p>
        </w:tc>
      </w:tr>
      <w:tr>
        <w:tc>
          <w:tcPr>
            <w:tcW w:w="1500" w:type="dxa"/>
            <w:vAlign w:val="center"/>
          </w:tcPr>
          <w:p>
            <w:pPr>
              <w:spacing w:before="40" w:after="40"/>
              <w:jc w:val="center"/>
            </w:pPr>
            <w:r>
              <w:rPr>
                <w:color w:val="4a5568"/>
                <w:sz w:val="20"/>
              </w:rPr>
              <w:t xml:space="preserve">MCDet (2025)</w:t>
            </w:r>
          </w:p>
        </w:tc>
        <w:tc>
          <w:tcPr>
            <w:tcW w:w="1500" w:type="dxa"/>
            <w:vAlign w:val="center"/>
          </w:tcPr>
          <w:p>
            <w:pPr>
              <w:spacing w:before="40" w:after="40"/>
              <w:jc w:val="center"/>
            </w:pPr>
            <w:r>
              <w:rPr>
                <w:color w:val="4a5568"/>
                <w:sz w:val="20"/>
              </w:rPr>
              <w:t xml:space="preserve">Multi-dataset</w:t>
            </w:r>
          </w:p>
        </w:tc>
        <w:tc>
          <w:tcPr>
            <w:tcW w:w="1500" w:type="dxa"/>
            <w:vAlign w:val="center"/>
          </w:tcPr>
          <w:p>
            <w:pPr>
              <w:spacing w:before="40" w:after="40"/>
              <w:jc w:val="center"/>
            </w:pPr>
            <w:r>
              <w:rPr>
                <w:color w:val="4a5568"/>
                <w:sz w:val="20"/>
              </w:rPr>
              <w:t xml:space="preserve">—</w:t>
            </w:r>
          </w:p>
        </w:tc>
        <w:tc>
          <w:tcPr>
            <w:tcW w:w="1500" w:type="dxa"/>
            <w:vAlign w:val="center"/>
          </w:tcPr>
          <w:p>
            <w:pPr>
              <w:spacing w:before="40" w:after="40"/>
              <w:jc w:val="center"/>
            </w:pPr>
            <w:r>
              <w:rPr>
                <w:color w:val="4a5568"/>
                <w:sz w:val="20"/>
              </w:rPr>
              <w:t xml:space="preserve">0.775</w:t>
            </w:r>
          </w:p>
        </w:tc>
        <w:tc>
          <w:tcPr>
            <w:tcW w:w="1500" w:type="dxa"/>
            <w:vAlign w:val="center"/>
          </w:tcPr>
          <w:p>
            <w:pPr>
              <w:spacing w:before="40" w:after="40"/>
              <w:jc w:val="center"/>
            </w:pPr>
            <w:r>
              <w:rPr>
                <w:color w:val="4a5568"/>
                <w:sz w:val="20"/>
              </w:rPr>
              <w:t xml:space="preserve">—</w:t>
            </w:r>
          </w:p>
        </w:tc>
        <w:tc>
          <w:tcPr>
            <w:tcW w:w="1500" w:type="dxa"/>
            <w:vAlign w:val="center"/>
          </w:tcPr>
          <w:p>
            <w:pPr>
              <w:spacing w:before="40" w:after="40"/>
              <w:jc w:val="center"/>
            </w:pPr>
            <w:r>
              <w:rPr>
                <w:color w:val="4a5568"/>
                <w:sz w:val="20"/>
              </w:rPr>
              <w:t xml:space="preserve">RGB-T Fusion + MRCF+CGAN</w:t>
            </w:r>
          </w:p>
        </w:tc>
      </w:tr>
    </w:tbl>
    <w:p>
      <w:pPr>
        <w:pStyle w:val="Heading1"/>
      </w:pPr>
      <w:r>
        <w:t xml:space="preserve">  Chapter Six: Challenges and Limitations</w:t>
      </w:r>
      <w:bookmarkStart w:name="_Toc007" w:id="7"/>
      <w:bookmarkEnd w:id="7"/>
    </w:p>
    <w:p>
      <w:pPr>
        <w:pStyle w:val="Heading2"/>
      </w:pPr>
      <w:r>
        <w:t>6.1 Pseudo-Label Quality</w:t>
      </w:r>
    </w:p>
    <w:p>
      <w:pPr>
        <w:pStyle w:val="Normal"/>
      </w:pPr>
      <w:r>
        <w:t xml:space="preserve">Since bounding boxes are generated from reconstruction error maps rather than human annotations, they are inherently noisy. Error maps may produce fragmented boxes for large fire regions or over-segment a single fire into multiple disjoint boxes. The filtering heuristics (minimum/maximum box fraction, percentile threshold) mitigate the worst cases but do not eliminate all noise. The average of 5.4 boxes per fire frame reflects this over-segmentation tendency, which may introduce label noise during YOLO training.</w:t>
      </w:r>
    </w:p>
    <w:p>
      <w:pPr>
        <w:pStyle w:val="Heading2"/>
      </w:pPr>
      <w:r>
        <w:t>6.2 Dataset Specificity</w:t>
      </w:r>
    </w:p>
    <w:p>
      <w:pPr>
        <w:pStyle w:val="Normal"/>
      </w:pPr>
      <w:r>
        <w:t xml:space="preserve">FLAME-2 was collected in a single geographic location (open-canopy pine forest in Arizona) during controlled burns in a limited seasonal window. The autoencoder's anomaly threshold and the YOLO model's learned feature representations may not generalize to different vegetation types (e.g., dense tropical forest, chaparral), climatic conditions (high humidity, fog), or fire behavior patterns (e.g., crown fires vs. ground fires).</w:t>
      </w:r>
    </w:p>
    <w:p>
      <w:pPr>
        <w:pStyle w:val="Heading2"/>
      </w:pPr>
      <w:r>
        <w:t>6.3 IR Temporal Resolution Limitations</w:t>
      </w:r>
    </w:p>
    <w:p>
      <w:pPr>
        <w:pStyle w:val="Normal"/>
      </w:pPr>
      <w:r>
        <w:t xml:space="preserve">The FLAME-2 IR frames are derived from 30 FPS video. While this provides a large number of training samples, consecutive frames are highly correlated, which may cause the autoencoder to overfit to specific scene configurations rather than learning truly generalizable thermal background representations.</w:t>
      </w:r>
    </w:p>
    <w:p>
      <w:pPr>
        <w:pStyle w:val="Heading2"/>
      </w:pPr>
      <w:r>
        <w:t>6.4 Single-Modality YOLO Training</w:t>
      </w:r>
    </w:p>
    <w:p>
      <w:pPr>
        <w:pStyle w:val="Normal"/>
      </w:pPr>
      <w:r>
        <w:t xml:space="preserve">In the current implementation, the YOLO detector is trained on RGB thermal false-color images from the IR channel only. The RGB channel's information is not directly incorporated into the YOLO stage, limiting the potential benefit of true multi-modal fusion at the detection stage.</w:t>
      </w:r>
    </w:p>
    <w:p>
      <w:pPr>
        <w:pStyle w:val="Heading2"/>
      </w:pPr>
      <w:r>
        <w:t>6.5 Computational Requirements</w:t>
      </w:r>
    </w:p>
    <w:p>
      <w:pPr>
        <w:pStyle w:val="Normal"/>
      </w:pPr>
      <w:r>
        <w:t xml:space="preserve">Training the full pipeline (autoencoder + YOLO) required approximately 10 hours on a Tesla P100 GPU with 17.1 GB VRAM. While inference is fast (1.0 ms per frame for YOLOv11s), training resources may be a constraint for deployment organizations without access to high-end GPU hardware.</w:t>
      </w:r>
    </w:p>
    <w:p>
      <w:pPr>
        <w:pStyle w:val="Heading1"/>
      </w:pPr>
      <w:r>
        <w:t xml:space="preserve">  Chapter Seven: Future Recommendations</w:t>
      </w:r>
      <w:bookmarkStart w:name="_Toc008" w:id="8"/>
      <w:bookmarkEnd w:id="8"/>
    </w:p>
    <w:p>
      <w:pPr>
        <w:pStyle w:val="Heading2"/>
      </w:pPr>
      <w:r>
        <w:t>7.1 True Multi-Modal Fusion</w:t>
      </w:r>
    </w:p>
    <w:p>
      <w:pPr>
        <w:pStyle w:val="Normal"/>
      </w:pPr>
      <w:r>
        <w:t xml:space="preserve">Extending AI-FireGuard to incorporate RGB visual information alongside thermal IR in both the autoencoder and the YOLO detector would be the most impactful near-term improvement. Multi-modal fusion architectures — such as cross-modal attention modules or early/late feature fusion strategies — could leverage the complementary strengths of both sensor modalities to further reduce false positives and improve detection under smoke cover.</w:t>
      </w:r>
    </w:p>
    <w:p>
      <w:pPr>
        <w:pStyle w:val="Heading2"/>
      </w:pPr>
      <w:r>
        <w:t>7.2 Domain Adaptation and Transfer Learning</w:t>
      </w:r>
    </w:p>
    <w:p>
      <w:pPr>
        <w:pStyle w:val="Normal"/>
      </w:pPr>
      <w:r>
        <w:t xml:space="preserve">Training separate autoencoder instances for different vegetation types or geographic regions, and using domain adaptation techniques to transfer the FLAME-2 trained model to new environments, would significantly expand the system's operational coverage. Techniques such as domain-adversarial training or few-shot fine-tuning with a small number of labeled target-domain examples could be explored.</w:t>
      </w:r>
    </w:p>
    <w:p>
      <w:pPr>
        <w:pStyle w:val="Heading2"/>
      </w:pPr>
      <w:r>
        <w:t>7.3 Temporal Modeling</w:t>
      </w:r>
    </w:p>
    <w:p>
      <w:pPr>
        <w:pStyle w:val="Normal"/>
      </w:pPr>
      <w:r>
        <w:t xml:space="preserve">Incorporating temporal information — through LSTM-based sequence modeling, 3D convolutional networks, or transformer-based temporal attention — would enable the system to detect fire signatures that evolve over time (e.g., growing hot spots, spreading smoke plumes). This would improve robustness against single-frame false positives and enable fire progression tracking.</w:t>
      </w:r>
    </w:p>
    <w:p>
      <w:pPr>
        <w:pStyle w:val="Heading2"/>
      </w:pPr>
      <w:r>
        <w:t>7.4 Edge Deployment Optimization</w:t>
      </w:r>
    </w:p>
    <w:p>
      <w:pPr>
        <w:pStyle w:val="Normal"/>
      </w:pPr>
      <w:r>
        <w:t xml:space="preserve">Quantization (INT8/FP16), network pruning, and knowledge distillation techniques could reduce the YOLOv11s model's computational footprint to enable real-time on-board inference on UAV edge processors (e.g., NVIDIA Jetson Nano or Xavier NX) without requiring cloud connectivity.</w:t>
      </w:r>
    </w:p>
    <w:p>
      <w:pPr>
        <w:pStyle w:val="Heading2"/>
      </w:pPr>
      <w:r>
        <w:t>7.5 Active Learning for Label Refinement</w:t>
      </w:r>
    </w:p>
    <w:p>
      <w:pPr>
        <w:pStyle w:val="Normal"/>
      </w:pPr>
      <w:r>
        <w:t xml:space="preserve">An active learning loop could be implemented in which a human expert reviews a small number of the most uncertain pseudo-labeled frames per training cycle, progressively improving label quality and enabling the system to self-correct annotation errors without requiring full manual relabeling of the dataset.</w:t>
      </w:r>
    </w:p>
    <w:p>
      <w:pPr>
        <w:pStyle w:val="Heading2"/>
      </w:pPr>
      <w:r>
        <w:t>7.6 Integration with Real-Time Alert Systems</w:t>
      </w:r>
    </w:p>
    <w:p>
      <w:pPr>
        <w:pStyle w:val="Normal"/>
      </w:pPr>
      <w:r>
        <w:t xml:space="preserve">Integration of the detection pipeline with a real-time GIS-based alert system — transmitting georeferenced fire detection events to emergency response command centers via 4G/5G or mesh radio networks — would bring AI-FireGuard from a research prototype to an operational wildfire early warning system.</w:t>
      </w:r>
    </w:p>
    <w:p>
      <w:pPr>
        <w:pStyle w:val="Heading1"/>
      </w:pPr>
      <w:r>
        <w:t xml:space="preserve">  References</w:t>
      </w:r>
      <w:bookmarkStart w:name="_Toc009" w:id="9"/>
      <w:bookmarkEnd w:id="9"/>
    </w:p>
    <w:p>
      <w:pPr>
        <w:spacing w:after="120" w:line="276" w:lineRule="auto"/>
        <w:ind w:left="480" w:hanging="480"/>
      </w:pPr>
      <w:r>
        <w:rPr>
          <w:color w:val="4a5568"/>
          <w:sz w:val="20"/>
        </w:rPr>
        <w:t xml:space="preserve">[1] Hopkins, B., O'Neill, L., Afghah, F., Razi, A., Rowell, E., Watts, A., Fule, P., &amp; Coen, J. (2023). FLAME 2: Fire detection and modeLing: Aerial Multi-spectral imagE dataset. IEEE DataPort. https://doi.org/10.21227/qad6-r683</w:t>
      </w:r>
    </w:p>
    <w:p>
      <w:pPr>
        <w:spacing w:after="120" w:line="276" w:lineRule="auto"/>
        <w:ind w:left="480" w:hanging="480"/>
      </w:pPr>
      <w:r>
        <w:rPr>
          <w:color w:val="4a5568"/>
          <w:sz w:val="20"/>
        </w:rPr>
        <w:t xml:space="preserve">[2] Ravan, Y., Malek, A., Dolph, C.V., &amp; Behari, N. (2026). Real-Time Wildfire Localization on the NASA Autonomous Modular Sensor using Deep Learning. arXiv. https://arxiv.org/abs/2601.14475</w:t>
      </w:r>
    </w:p>
    <w:p>
      <w:pPr>
        <w:spacing w:after="120" w:line="276" w:lineRule="auto"/>
        <w:ind w:left="480" w:hanging="480"/>
      </w:pPr>
      <w:r>
        <w:rPr>
          <w:color w:val="4a5568"/>
          <w:sz w:val="20"/>
        </w:rPr>
        <w:t xml:space="preserve">[3] AEFRN Study (2025). Optimal features assisted multi-attention fusion for robust fire recognition in adverse conditions. Scientific Reports (Nature), 15, 23923. https://pubmed.ncbi.nlm.nih.gov/40615631/</w:t>
      </w:r>
    </w:p>
    <w:p>
      <w:pPr>
        <w:spacing w:after="120" w:line="276" w:lineRule="auto"/>
        <w:ind w:left="480" w:hanging="480"/>
      </w:pPr>
      <w:r>
        <w:rPr>
          <w:color w:val="4a5568"/>
          <w:sz w:val="20"/>
        </w:rPr>
        <w:t xml:space="preserve">[4] Spanoudakis, K., et al. (2026). FireVision: An Efficient Fire Detection and Monitoring Platform with Automated Drone Flights and Ensemble Deep Learning Models. Algorithms (MDPI), 19(3), 169. https://doi.org/10.3390/a19030169</w:t>
      </w:r>
    </w:p>
    <w:p>
      <w:pPr>
        <w:spacing w:after="120" w:line="276" w:lineRule="auto"/>
        <w:ind w:left="480" w:hanging="480"/>
      </w:pPr>
      <w:r>
        <w:rPr>
          <w:color w:val="4a5568"/>
          <w:sz w:val="20"/>
        </w:rPr>
        <w:t xml:space="preserve">[5] Liu, Z., Khajavi, S., &amp; Jiang, G. (2025). DetectiumFire: A Comprehensive Multi-modal Dataset Bridging Vision and Language for Fire Understanding.</w:t>
      </w:r>
    </w:p>
    <w:p>
      <w:pPr>
        <w:spacing w:after="120" w:line="276" w:lineRule="auto"/>
        <w:ind w:left="480" w:hanging="480"/>
      </w:pPr>
      <w:r>
        <w:rPr>
          <w:color w:val="4a5568"/>
          <w:sz w:val="20"/>
        </w:rPr>
        <w:t xml:space="preserve">[6] LP-YOLO (2026). LP-YOLO: Enhanced Smoke and Fire Detection via Self-Attention and Feature Pyramid Integration. ScienceDirect.</w:t>
      </w:r>
    </w:p>
    <w:p>
      <w:pPr>
        <w:spacing w:after="120" w:line="276" w:lineRule="auto"/>
        <w:ind w:left="480" w:hanging="480"/>
      </w:pPr>
      <w:r>
        <w:rPr>
          <w:color w:val="4a5568"/>
          <w:sz w:val="20"/>
        </w:rPr>
        <w:t xml:space="preserve">[7] FlameGuard (2025). FlameGuard: An AI-Driven Smart Map for Early Detection and Management of Agricultural Fires in Saudi Arabia. Scientific Reports (Nature).</w:t>
      </w:r>
    </w:p>
    <w:p>
      <w:pPr>
        <w:spacing w:after="120" w:line="276" w:lineRule="auto"/>
        <w:ind w:left="480" w:hanging="480"/>
      </w:pPr>
      <w:r>
        <w:rPr>
          <w:color w:val="4a5568"/>
          <w:sz w:val="20"/>
        </w:rPr>
        <w:t xml:space="preserve">[8] Multimodal Fusion (2025). High-performance fire detection framework based on feature enhancement and multimodal fusion. Engineering Research Journal.</w:t>
      </w:r>
    </w:p>
    <w:p>
      <w:pPr>
        <w:spacing w:after="120" w:line="276" w:lineRule="auto"/>
        <w:ind w:left="480" w:hanging="480"/>
      </w:pPr>
      <w:r>
        <w:rPr>
          <w:color w:val="4a5568"/>
          <w:sz w:val="20"/>
        </w:rPr>
        <w:t xml:space="preserve">[9] FFDNet (2025). Research and optimization of a multilevel fire detection framework based on deep learning and classical pattern recognition. Scientific Reports (Nature).</w:t>
      </w:r>
    </w:p>
    <w:p>
      <w:pPr>
        <w:spacing w:after="120" w:line="276" w:lineRule="auto"/>
        <w:ind w:left="480" w:hanging="480"/>
      </w:pPr>
      <w:r>
        <w:rPr>
          <w:color w:val="4a5568"/>
          <w:sz w:val="20"/>
        </w:rPr>
        <w:t xml:space="preserve">[10] ResCaps-TC-Attn-Fire (2025). Residual capsule network with threshold convolution and attention mechanism for forest fire detection using UAV imagery. Scientific Reports (Nature).</w:t>
      </w:r>
    </w:p>
    <w:p>
      <w:pPr>
        <w:spacing w:after="120" w:line="276" w:lineRule="auto"/>
        <w:ind w:left="480" w:hanging="480"/>
      </w:pPr>
      <w:r>
        <w:rPr>
          <w:color w:val="4a5568"/>
          <w:sz w:val="20"/>
        </w:rPr>
        <w:t xml:space="preserve">[11] Kularatne, S. D. M. W., et al. (2024). FireManUAV-RGBT: A Novel UAV-Based RGB-Thermal Video Dataset for the Detection of Wildfires in the Finnish Forests. Proc. IEEE ETFA 2024.</w:t>
      </w:r>
    </w:p>
    <w:p>
      <w:pPr>
        <w:pStyle w:val="Heading1"/>
      </w:pPr>
      <w:r>
        <w:t xml:space="preserve">  Appendix: Key Code Components</w:t>
      </w:r>
      <w:bookmarkStart w:name="_Toc010" w:id="10"/>
      <w:bookmarkEnd w:id="10"/>
    </w:p>
    <w:p>
      <w:pPr>
        <w:pStyle w:val="Heading2"/>
      </w:pPr>
      <w:r>
        <w:t>A.1 Autoencoder Architecture Summary</w:t>
      </w:r>
    </w:p>
    <w:p>
      <w:pPr>
        <w:pStyle w:val="Normal"/>
      </w:pPr>
      <w:r>
        <w:t xml:space="preserve">The IRAutoencoder class implements a convolutional encoder–decoder with the following layer structure:</w:t>
      </w:r>
    </w:p>
    <w:tbl>
      <w:tblPr>
        <w:tblW w:w="5000" w:type="pct"/>
        <w:tblBorders>
          <w:top w:val="single" w:color="1a365d" w:sz="12"/>
          <w:left w:val="nil"/>
          <w:bottom w:val="single" w:color="1a365d" w:sz="12"/>
          <w:right w:val="nil"/>
          <w:insideH w:val="single" w:color="e2e8f0" w:sz="4"/>
          <w:insideV w:val="nil"/>
        </w:tblBorders>
      </w:tblPr>
      <w:tblGrid>
        <w:gridCol w:w="2250"/>
        <w:gridCol w:w="2250"/>
        <w:gridCol w:w="2250"/>
        <w:gridCol w:w="2250"/>
      </w:tblGrid>
      <w:tr>
        <w:trPr>
          <w:tblHeader/>
        </w:trPr>
        <w:tc>
          <w:tcPr>
            <w:tcW w:w="2250" w:type="dxa"/>
            <w:shd w:val="clear" w:fill="edf2f7"/>
            <w:vAlign w:val="center"/>
          </w:tcPr>
          <w:p>
            <w:pPr>
              <w:spacing w:before="60" w:after="60"/>
              <w:jc w:val="center"/>
            </w:pPr>
            <w:r>
              <w:rPr>
                <w:b/>
                <w:color w:val="1a202c"/>
                <w:sz w:val="20"/>
              </w:rPr>
              <w:t>Layer Group</w:t>
            </w:r>
          </w:p>
        </w:tc>
        <w:tc>
          <w:tcPr>
            <w:tcW w:w="2250" w:type="dxa"/>
            <w:shd w:val="clear" w:fill="edf2f7"/>
            <w:vAlign w:val="center"/>
          </w:tcPr>
          <w:p>
            <w:pPr>
              <w:spacing w:before="60" w:after="60"/>
              <w:jc w:val="center"/>
            </w:pPr>
            <w:r>
              <w:rPr>
                <w:b/>
                <w:color w:val="1a202c"/>
                <w:sz w:val="20"/>
              </w:rPr>
              <w:t>Input Size</w:t>
            </w:r>
          </w:p>
        </w:tc>
        <w:tc>
          <w:tcPr>
            <w:tcW w:w="2250" w:type="dxa"/>
            <w:shd w:val="clear" w:fill="edf2f7"/>
            <w:vAlign w:val="center"/>
          </w:tcPr>
          <w:p>
            <w:pPr>
              <w:spacing w:before="60" w:after="60"/>
              <w:jc w:val="center"/>
            </w:pPr>
            <w:r>
              <w:rPr>
                <w:b/>
                <w:color w:val="1a202c"/>
                <w:sz w:val="20"/>
              </w:rPr>
              <w:t>Output Size</w:t>
            </w:r>
          </w:p>
        </w:tc>
        <w:tc>
          <w:tcPr>
            <w:tcW w:w="2250" w:type="dxa"/>
            <w:shd w:val="clear" w:fill="edf2f7"/>
            <w:vAlign w:val="center"/>
          </w:tcPr>
          <w:p>
            <w:pPr>
              <w:spacing w:before="60" w:after="60"/>
              <w:jc w:val="center"/>
            </w:pPr>
            <w:r>
              <w:rPr>
                <w:b/>
                <w:color w:val="1a202c"/>
                <w:sz w:val="20"/>
              </w:rPr>
              <w:t>Description</w:t>
            </w:r>
          </w:p>
        </w:tc>
      </w:tr>
      <w:tr>
        <w:tc>
          <w:tcPr>
            <w:tcW w:w="2250" w:type="dxa"/>
            <w:vAlign w:val="center"/>
          </w:tcPr>
          <w:p>
            <w:pPr>
              <w:spacing w:before="40" w:after="40"/>
              <w:jc w:val="center"/>
            </w:pPr>
            <w:r>
              <w:rPr>
                <w:color w:val="4a5568"/>
                <w:sz w:val="20"/>
              </w:rPr>
              <w:t xml:space="preserve">Encoder Block 1</w:t>
            </w:r>
          </w:p>
        </w:tc>
        <w:tc>
          <w:tcPr>
            <w:tcW w:w="2250" w:type="dxa"/>
            <w:vAlign w:val="center"/>
          </w:tcPr>
          <w:p>
            <w:pPr>
              <w:spacing w:before="40" w:after="40"/>
              <w:jc w:val="center"/>
            </w:pPr>
            <w:r>
              <w:rPr>
                <w:color w:val="4a5568"/>
                <w:sz w:val="20"/>
              </w:rPr>
              <w:t xml:space="preserve">256×256×3</w:t>
            </w:r>
          </w:p>
        </w:tc>
        <w:tc>
          <w:tcPr>
            <w:tcW w:w="2250" w:type="dxa"/>
            <w:vAlign w:val="center"/>
          </w:tcPr>
          <w:p>
            <w:pPr>
              <w:spacing w:before="40" w:after="40"/>
              <w:jc w:val="center"/>
            </w:pPr>
            <w:r>
              <w:rPr>
                <w:color w:val="4a5568"/>
                <w:sz w:val="20"/>
              </w:rPr>
              <w:t xml:space="preserve">256×256×32</w:t>
            </w:r>
          </w:p>
        </w:tc>
        <w:tc>
          <w:tcPr>
            <w:tcW w:w="2250" w:type="dxa"/>
            <w:vAlign w:val="center"/>
          </w:tcPr>
          <w:p>
            <w:pPr>
              <w:spacing w:before="40" w:after="40"/>
              <w:jc w:val="center"/>
            </w:pPr>
            <w:r>
              <w:rPr>
                <w:color w:val="4a5568"/>
                <w:sz w:val="20"/>
              </w:rPr>
              <w:t xml:space="preserve">ConvBlock (stride=1)</w:t>
            </w:r>
          </w:p>
        </w:tc>
      </w:tr>
      <w:tr>
        <w:tc>
          <w:tcPr>
            <w:tcW w:w="2250" w:type="dxa"/>
            <w:vAlign w:val="center"/>
          </w:tcPr>
          <w:p>
            <w:pPr>
              <w:spacing w:before="40" w:after="40"/>
              <w:jc w:val="center"/>
            </w:pPr>
            <w:r>
              <w:rPr>
                <w:color w:val="4a5568"/>
                <w:sz w:val="20"/>
              </w:rPr>
              <w:t xml:space="preserve">Encoder Block 2</w:t>
            </w:r>
          </w:p>
        </w:tc>
        <w:tc>
          <w:tcPr>
            <w:tcW w:w="2250" w:type="dxa"/>
            <w:vAlign w:val="center"/>
          </w:tcPr>
          <w:p>
            <w:pPr>
              <w:spacing w:before="40" w:after="40"/>
              <w:jc w:val="center"/>
            </w:pPr>
            <w:r>
              <w:rPr>
                <w:color w:val="4a5568"/>
                <w:sz w:val="20"/>
              </w:rPr>
              <w:t xml:space="preserve">256×256×32</w:t>
            </w:r>
          </w:p>
        </w:tc>
        <w:tc>
          <w:tcPr>
            <w:tcW w:w="2250" w:type="dxa"/>
            <w:vAlign w:val="center"/>
          </w:tcPr>
          <w:p>
            <w:pPr>
              <w:spacing w:before="40" w:after="40"/>
              <w:jc w:val="center"/>
            </w:pPr>
            <w:r>
              <w:rPr>
                <w:color w:val="4a5568"/>
                <w:sz w:val="20"/>
              </w:rPr>
              <w:t xml:space="preserve">128×128×64</w:t>
            </w:r>
          </w:p>
        </w:tc>
        <w:tc>
          <w:tcPr>
            <w:tcW w:w="2250" w:type="dxa"/>
            <w:vAlign w:val="center"/>
          </w:tcPr>
          <w:p>
            <w:pPr>
              <w:spacing w:before="40" w:after="40"/>
              <w:jc w:val="center"/>
            </w:pPr>
            <w:r>
              <w:rPr>
                <w:color w:val="4a5568"/>
                <w:sz w:val="20"/>
              </w:rPr>
              <w:t xml:space="preserve">ConvBlock (stride=2)</w:t>
            </w:r>
          </w:p>
        </w:tc>
      </w:tr>
      <w:tr>
        <w:tc>
          <w:tcPr>
            <w:tcW w:w="2250" w:type="dxa"/>
            <w:vAlign w:val="center"/>
          </w:tcPr>
          <w:p>
            <w:pPr>
              <w:spacing w:before="40" w:after="40"/>
              <w:jc w:val="center"/>
            </w:pPr>
            <w:r>
              <w:rPr>
                <w:color w:val="4a5568"/>
                <w:sz w:val="20"/>
              </w:rPr>
              <w:t xml:space="preserve">Encoder Block 3</w:t>
            </w:r>
          </w:p>
        </w:tc>
        <w:tc>
          <w:tcPr>
            <w:tcW w:w="2250" w:type="dxa"/>
            <w:vAlign w:val="center"/>
          </w:tcPr>
          <w:p>
            <w:pPr>
              <w:spacing w:before="40" w:after="40"/>
              <w:jc w:val="center"/>
            </w:pPr>
            <w:r>
              <w:rPr>
                <w:color w:val="4a5568"/>
                <w:sz w:val="20"/>
              </w:rPr>
              <w:t xml:space="preserve">128×128×64</w:t>
            </w:r>
          </w:p>
        </w:tc>
        <w:tc>
          <w:tcPr>
            <w:tcW w:w="2250" w:type="dxa"/>
            <w:vAlign w:val="center"/>
          </w:tcPr>
          <w:p>
            <w:pPr>
              <w:spacing w:before="40" w:after="40"/>
              <w:jc w:val="center"/>
            </w:pPr>
            <w:r>
              <w:rPr>
                <w:color w:val="4a5568"/>
                <w:sz w:val="20"/>
              </w:rPr>
              <w:t xml:space="preserve">128×128×64</w:t>
            </w:r>
          </w:p>
        </w:tc>
        <w:tc>
          <w:tcPr>
            <w:tcW w:w="2250" w:type="dxa"/>
            <w:vAlign w:val="center"/>
          </w:tcPr>
          <w:p>
            <w:pPr>
              <w:spacing w:before="40" w:after="40"/>
              <w:jc w:val="center"/>
            </w:pPr>
            <w:r>
              <w:rPr>
                <w:color w:val="4a5568"/>
                <w:sz w:val="20"/>
              </w:rPr>
              <w:t xml:space="preserve">ConvBlock (stride=1)</w:t>
            </w:r>
          </w:p>
        </w:tc>
      </w:tr>
      <w:tr>
        <w:tc>
          <w:tcPr>
            <w:tcW w:w="2250" w:type="dxa"/>
            <w:vAlign w:val="center"/>
          </w:tcPr>
          <w:p>
            <w:pPr>
              <w:spacing w:before="40" w:after="40"/>
              <w:jc w:val="center"/>
            </w:pPr>
            <w:r>
              <w:rPr>
                <w:color w:val="4a5568"/>
                <w:sz w:val="20"/>
              </w:rPr>
              <w:t xml:space="preserve">Encoder Block 4</w:t>
            </w:r>
          </w:p>
        </w:tc>
        <w:tc>
          <w:tcPr>
            <w:tcW w:w="2250" w:type="dxa"/>
            <w:vAlign w:val="center"/>
          </w:tcPr>
          <w:p>
            <w:pPr>
              <w:spacing w:before="40" w:after="40"/>
              <w:jc w:val="center"/>
            </w:pPr>
            <w:r>
              <w:rPr>
                <w:color w:val="4a5568"/>
                <w:sz w:val="20"/>
              </w:rPr>
              <w:t xml:space="preserve">128×128×64</w:t>
            </w:r>
          </w:p>
        </w:tc>
        <w:tc>
          <w:tcPr>
            <w:tcW w:w="2250" w:type="dxa"/>
            <w:vAlign w:val="center"/>
          </w:tcPr>
          <w:p>
            <w:pPr>
              <w:spacing w:before="40" w:after="40"/>
              <w:jc w:val="center"/>
            </w:pPr>
            <w:r>
              <w:rPr>
                <w:color w:val="4a5568"/>
                <w:sz w:val="20"/>
              </w:rPr>
              <w:t xml:space="preserve">64×64×128</w:t>
            </w:r>
          </w:p>
        </w:tc>
        <w:tc>
          <w:tcPr>
            <w:tcW w:w="2250" w:type="dxa"/>
            <w:vAlign w:val="center"/>
          </w:tcPr>
          <w:p>
            <w:pPr>
              <w:spacing w:before="40" w:after="40"/>
              <w:jc w:val="center"/>
            </w:pPr>
            <w:r>
              <w:rPr>
                <w:color w:val="4a5568"/>
                <w:sz w:val="20"/>
              </w:rPr>
              <w:t xml:space="preserve">ConvBlock (stride=2)</w:t>
            </w:r>
          </w:p>
        </w:tc>
      </w:tr>
      <w:tr>
        <w:tc>
          <w:tcPr>
            <w:tcW w:w="2250" w:type="dxa"/>
            <w:vAlign w:val="center"/>
          </w:tcPr>
          <w:p>
            <w:pPr>
              <w:spacing w:before="40" w:after="40"/>
              <w:jc w:val="center"/>
            </w:pPr>
            <w:r>
              <w:rPr>
                <w:color w:val="4a5568"/>
                <w:sz w:val="20"/>
              </w:rPr>
              <w:t xml:space="preserve">Encoder Block 5</w:t>
            </w:r>
          </w:p>
        </w:tc>
        <w:tc>
          <w:tcPr>
            <w:tcW w:w="2250" w:type="dxa"/>
            <w:vAlign w:val="center"/>
          </w:tcPr>
          <w:p>
            <w:pPr>
              <w:spacing w:before="40" w:after="40"/>
              <w:jc w:val="center"/>
            </w:pPr>
            <w:r>
              <w:rPr>
                <w:color w:val="4a5568"/>
                <w:sz w:val="20"/>
              </w:rPr>
              <w:t xml:space="preserve">64×64×128</w:t>
            </w:r>
          </w:p>
        </w:tc>
        <w:tc>
          <w:tcPr>
            <w:tcW w:w="2250" w:type="dxa"/>
            <w:vAlign w:val="center"/>
          </w:tcPr>
          <w:p>
            <w:pPr>
              <w:spacing w:before="40" w:after="40"/>
              <w:jc w:val="center"/>
            </w:pPr>
            <w:r>
              <w:rPr>
                <w:color w:val="4a5568"/>
                <w:sz w:val="20"/>
              </w:rPr>
              <w:t xml:space="preserve">64×64×128</w:t>
            </w:r>
          </w:p>
        </w:tc>
        <w:tc>
          <w:tcPr>
            <w:tcW w:w="2250" w:type="dxa"/>
            <w:vAlign w:val="center"/>
          </w:tcPr>
          <w:p>
            <w:pPr>
              <w:spacing w:before="40" w:after="40"/>
              <w:jc w:val="center"/>
            </w:pPr>
            <w:r>
              <w:rPr>
                <w:color w:val="4a5568"/>
                <w:sz w:val="20"/>
              </w:rPr>
              <w:t xml:space="preserve">ConvBlock (stride=1)</w:t>
            </w:r>
          </w:p>
        </w:tc>
      </w:tr>
      <w:tr>
        <w:tc>
          <w:tcPr>
            <w:tcW w:w="2250" w:type="dxa"/>
            <w:vAlign w:val="center"/>
          </w:tcPr>
          <w:p>
            <w:pPr>
              <w:spacing w:before="40" w:after="40"/>
              <w:jc w:val="center"/>
            </w:pPr>
            <w:r>
              <w:rPr>
                <w:color w:val="4a5568"/>
                <w:sz w:val="20"/>
              </w:rPr>
              <w:t xml:space="preserve">Encoder Block 6</w:t>
            </w:r>
          </w:p>
        </w:tc>
        <w:tc>
          <w:tcPr>
            <w:tcW w:w="2250" w:type="dxa"/>
            <w:vAlign w:val="center"/>
          </w:tcPr>
          <w:p>
            <w:pPr>
              <w:spacing w:before="40" w:after="40"/>
              <w:jc w:val="center"/>
            </w:pPr>
            <w:r>
              <w:rPr>
                <w:color w:val="4a5568"/>
                <w:sz w:val="20"/>
              </w:rPr>
              <w:t xml:space="preserve">64×64×128</w:t>
            </w:r>
          </w:p>
        </w:tc>
        <w:tc>
          <w:tcPr>
            <w:tcW w:w="2250" w:type="dxa"/>
            <w:vAlign w:val="center"/>
          </w:tcPr>
          <w:p>
            <w:pPr>
              <w:spacing w:before="40" w:after="40"/>
              <w:jc w:val="center"/>
            </w:pPr>
            <w:r>
              <w:rPr>
                <w:color w:val="4a5568"/>
                <w:sz w:val="20"/>
              </w:rPr>
              <w:t xml:space="preserve">32×32×256</w:t>
            </w:r>
          </w:p>
        </w:tc>
        <w:tc>
          <w:tcPr>
            <w:tcW w:w="2250" w:type="dxa"/>
            <w:vAlign w:val="center"/>
          </w:tcPr>
          <w:p>
            <w:pPr>
              <w:spacing w:before="40" w:after="40"/>
              <w:jc w:val="center"/>
            </w:pPr>
            <w:r>
              <w:rPr>
                <w:color w:val="4a5568"/>
                <w:sz w:val="20"/>
              </w:rPr>
              <w:t xml:space="preserve">ConvBlock (stride=2)</w:t>
            </w:r>
          </w:p>
        </w:tc>
      </w:tr>
      <w:tr>
        <w:tc>
          <w:tcPr>
            <w:tcW w:w="2250" w:type="dxa"/>
            <w:vAlign w:val="center"/>
          </w:tcPr>
          <w:p>
            <w:pPr>
              <w:spacing w:before="40" w:after="40"/>
              <w:jc w:val="center"/>
            </w:pPr>
            <w:r>
              <w:rPr>
                <w:color w:val="4a5568"/>
                <w:sz w:val="20"/>
              </w:rPr>
              <w:t xml:space="preserve">Encoder Block 7</w:t>
            </w:r>
          </w:p>
        </w:tc>
        <w:tc>
          <w:tcPr>
            <w:tcW w:w="2250" w:type="dxa"/>
            <w:vAlign w:val="center"/>
          </w:tcPr>
          <w:p>
            <w:pPr>
              <w:spacing w:before="40" w:after="40"/>
              <w:jc w:val="center"/>
            </w:pPr>
            <w:r>
              <w:rPr>
                <w:color w:val="4a5568"/>
                <w:sz w:val="20"/>
              </w:rPr>
              <w:t xml:space="preserve">32×32×256</w:t>
            </w:r>
          </w:p>
        </w:tc>
        <w:tc>
          <w:tcPr>
            <w:tcW w:w="2250" w:type="dxa"/>
            <w:vAlign w:val="center"/>
          </w:tcPr>
          <w:p>
            <w:pPr>
              <w:spacing w:before="40" w:after="40"/>
              <w:jc w:val="center"/>
            </w:pPr>
            <w:r>
              <w:rPr>
                <w:color w:val="4a5568"/>
                <w:sz w:val="20"/>
              </w:rPr>
              <w:t xml:space="preserve">32×32×256</w:t>
            </w:r>
          </w:p>
        </w:tc>
        <w:tc>
          <w:tcPr>
            <w:tcW w:w="2250" w:type="dxa"/>
            <w:vAlign w:val="center"/>
          </w:tcPr>
          <w:p>
            <w:pPr>
              <w:spacing w:before="40" w:after="40"/>
              <w:jc w:val="center"/>
            </w:pPr>
            <w:r>
              <w:rPr>
                <w:color w:val="4a5568"/>
                <w:sz w:val="20"/>
              </w:rPr>
              <w:t xml:space="preserve">ConvBlock (stride=1)</w:t>
            </w:r>
          </w:p>
        </w:tc>
      </w:tr>
      <w:tr>
        <w:tc>
          <w:tcPr>
            <w:tcW w:w="2250" w:type="dxa"/>
            <w:vAlign w:val="center"/>
          </w:tcPr>
          <w:p>
            <w:pPr>
              <w:spacing w:before="40" w:after="40"/>
              <w:jc w:val="center"/>
            </w:pPr>
            <w:r>
              <w:rPr>
                <w:color w:val="4a5568"/>
                <w:sz w:val="20"/>
              </w:rPr>
              <w:t xml:space="preserve">Encoder Block 8 (Bottleneck)</w:t>
            </w:r>
          </w:p>
        </w:tc>
        <w:tc>
          <w:tcPr>
            <w:tcW w:w="2250" w:type="dxa"/>
            <w:vAlign w:val="center"/>
          </w:tcPr>
          <w:p>
            <w:pPr>
              <w:spacing w:before="40" w:after="40"/>
              <w:jc w:val="center"/>
            </w:pPr>
            <w:r>
              <w:rPr>
                <w:color w:val="4a5568"/>
                <w:sz w:val="20"/>
              </w:rPr>
              <w:t xml:space="preserve">32×32×256</w:t>
            </w:r>
          </w:p>
        </w:tc>
        <w:tc>
          <w:tcPr>
            <w:tcW w:w="2250" w:type="dxa"/>
            <w:vAlign w:val="center"/>
          </w:tcPr>
          <w:p>
            <w:pPr>
              <w:spacing w:before="40" w:after="40"/>
              <w:jc w:val="center"/>
            </w:pPr>
            <w:r>
              <w:rPr>
                <w:color w:val="4a5568"/>
                <w:sz w:val="20"/>
              </w:rPr>
              <w:t xml:space="preserve">16×16×256</w:t>
            </w:r>
          </w:p>
        </w:tc>
        <w:tc>
          <w:tcPr>
            <w:tcW w:w="2250" w:type="dxa"/>
            <w:vAlign w:val="center"/>
          </w:tcPr>
          <w:p>
            <w:pPr>
              <w:spacing w:before="40" w:after="40"/>
              <w:jc w:val="center"/>
            </w:pPr>
            <w:r>
              <w:rPr>
                <w:color w:val="4a5568"/>
                <w:sz w:val="20"/>
              </w:rPr>
              <w:t xml:space="preserve">ConvBlock (stride=2)</w:t>
            </w:r>
          </w:p>
        </w:tc>
      </w:tr>
      <w:tr>
        <w:tc>
          <w:tcPr>
            <w:tcW w:w="2250" w:type="dxa"/>
            <w:vAlign w:val="center"/>
          </w:tcPr>
          <w:p>
            <w:pPr>
              <w:spacing w:before="40" w:after="40"/>
              <w:jc w:val="center"/>
            </w:pPr>
            <w:r>
              <w:rPr>
                <w:color w:val="4a5568"/>
                <w:sz w:val="20"/>
              </w:rPr>
              <w:t xml:space="preserve">Encoder Block 9</w:t>
            </w:r>
          </w:p>
        </w:tc>
        <w:tc>
          <w:tcPr>
            <w:tcW w:w="2250" w:type="dxa"/>
            <w:vAlign w:val="center"/>
          </w:tcPr>
          <w:p>
            <w:pPr>
              <w:spacing w:before="40" w:after="40"/>
              <w:jc w:val="center"/>
            </w:pPr>
            <w:r>
              <w:rPr>
                <w:color w:val="4a5568"/>
                <w:sz w:val="20"/>
              </w:rPr>
              <w:t xml:space="preserve">16×16×256</w:t>
            </w:r>
          </w:p>
        </w:tc>
        <w:tc>
          <w:tcPr>
            <w:tcW w:w="2250" w:type="dxa"/>
            <w:vAlign w:val="center"/>
          </w:tcPr>
          <w:p>
            <w:pPr>
              <w:spacing w:before="40" w:after="40"/>
              <w:jc w:val="center"/>
            </w:pPr>
            <w:r>
              <w:rPr>
                <w:color w:val="4a5568"/>
                <w:sz w:val="20"/>
              </w:rPr>
              <w:t xml:space="preserve">16×16×256</w:t>
            </w:r>
          </w:p>
        </w:tc>
        <w:tc>
          <w:tcPr>
            <w:tcW w:w="2250" w:type="dxa"/>
            <w:vAlign w:val="center"/>
          </w:tcPr>
          <w:p>
            <w:pPr>
              <w:spacing w:before="40" w:after="40"/>
              <w:jc w:val="center"/>
            </w:pPr>
            <w:r>
              <w:rPr>
                <w:color w:val="4a5568"/>
                <w:sz w:val="20"/>
              </w:rPr>
              <w:t xml:space="preserve">ConvBlock (stride=1)</w:t>
            </w:r>
          </w:p>
        </w:tc>
      </w:tr>
      <w:tr>
        <w:tc>
          <w:tcPr>
            <w:tcW w:w="2250" w:type="dxa"/>
            <w:vAlign w:val="center"/>
          </w:tcPr>
          <w:p>
            <w:pPr>
              <w:spacing w:before="40" w:after="40"/>
              <w:jc w:val="center"/>
            </w:pPr>
            <w:r>
              <w:rPr>
                <w:color w:val="4a5568"/>
                <w:sz w:val="20"/>
              </w:rPr>
              <w:t xml:space="preserve">Decoder UpBlock 1</w:t>
            </w:r>
          </w:p>
        </w:tc>
        <w:tc>
          <w:tcPr>
            <w:tcW w:w="2250" w:type="dxa"/>
            <w:vAlign w:val="center"/>
          </w:tcPr>
          <w:p>
            <w:pPr>
              <w:spacing w:before="40" w:after="40"/>
              <w:jc w:val="center"/>
            </w:pPr>
            <w:r>
              <w:rPr>
                <w:color w:val="4a5568"/>
                <w:sz w:val="20"/>
              </w:rPr>
              <w:t xml:space="preserve">16×16×256</w:t>
            </w:r>
          </w:p>
        </w:tc>
        <w:tc>
          <w:tcPr>
            <w:tcW w:w="2250" w:type="dxa"/>
            <w:vAlign w:val="center"/>
          </w:tcPr>
          <w:p>
            <w:pPr>
              <w:spacing w:before="40" w:after="40"/>
              <w:jc w:val="center"/>
            </w:pPr>
            <w:r>
              <w:rPr>
                <w:color w:val="4a5568"/>
                <w:sz w:val="20"/>
              </w:rPr>
              <w:t xml:space="preserve">32×32×256</w:t>
            </w:r>
          </w:p>
        </w:tc>
        <w:tc>
          <w:tcPr>
            <w:tcW w:w="2250" w:type="dxa"/>
            <w:vAlign w:val="center"/>
          </w:tcPr>
          <w:p>
            <w:pPr>
              <w:spacing w:before="40" w:after="40"/>
              <w:jc w:val="center"/>
            </w:pPr>
            <w:r>
              <w:rPr>
                <w:color w:val="4a5568"/>
                <w:sz w:val="20"/>
              </w:rPr>
              <w:t xml:space="preserve">UpBlock (bilinear ×2)</w:t>
            </w:r>
          </w:p>
        </w:tc>
      </w:tr>
      <w:tr>
        <w:tc>
          <w:tcPr>
            <w:tcW w:w="2250" w:type="dxa"/>
            <w:vAlign w:val="center"/>
          </w:tcPr>
          <w:p>
            <w:pPr>
              <w:spacing w:before="40" w:after="40"/>
              <w:jc w:val="center"/>
            </w:pPr>
            <w:r>
              <w:rPr>
                <w:color w:val="4a5568"/>
                <w:sz w:val="20"/>
              </w:rPr>
              <w:t xml:space="preserve">Decoder ConvBlock 1</w:t>
            </w:r>
          </w:p>
        </w:tc>
        <w:tc>
          <w:tcPr>
            <w:tcW w:w="2250" w:type="dxa"/>
            <w:vAlign w:val="center"/>
          </w:tcPr>
          <w:p>
            <w:pPr>
              <w:spacing w:before="40" w:after="40"/>
              <w:jc w:val="center"/>
            </w:pPr>
            <w:r>
              <w:rPr>
                <w:color w:val="4a5568"/>
                <w:sz w:val="20"/>
              </w:rPr>
              <w:t xml:space="preserve">32×32×256</w:t>
            </w:r>
          </w:p>
        </w:tc>
        <w:tc>
          <w:tcPr>
            <w:tcW w:w="2250" w:type="dxa"/>
            <w:vAlign w:val="center"/>
          </w:tcPr>
          <w:p>
            <w:pPr>
              <w:spacing w:before="40" w:after="40"/>
              <w:jc w:val="center"/>
            </w:pPr>
            <w:r>
              <w:rPr>
                <w:color w:val="4a5568"/>
                <w:sz w:val="20"/>
              </w:rPr>
              <w:t xml:space="preserve">32×32×256</w:t>
            </w:r>
          </w:p>
        </w:tc>
        <w:tc>
          <w:tcPr>
            <w:tcW w:w="2250" w:type="dxa"/>
            <w:vAlign w:val="center"/>
          </w:tcPr>
          <w:p>
            <w:pPr>
              <w:spacing w:before="40" w:after="40"/>
              <w:jc w:val="center"/>
            </w:pPr>
            <w:r>
              <w:rPr>
                <w:color w:val="4a5568"/>
                <w:sz w:val="20"/>
              </w:rPr>
              <w:t xml:space="preserve">ConvBlock</w:t>
            </w:r>
          </w:p>
        </w:tc>
      </w:tr>
      <w:tr>
        <w:tc>
          <w:tcPr>
            <w:tcW w:w="2250" w:type="dxa"/>
            <w:vAlign w:val="center"/>
          </w:tcPr>
          <w:p>
            <w:pPr>
              <w:spacing w:before="40" w:after="40"/>
              <w:jc w:val="center"/>
            </w:pPr>
            <w:r>
              <w:rPr>
                <w:color w:val="4a5568"/>
                <w:sz w:val="20"/>
              </w:rPr>
              <w:t xml:space="preserve">Decoder UpBlock 2</w:t>
            </w:r>
          </w:p>
        </w:tc>
        <w:tc>
          <w:tcPr>
            <w:tcW w:w="2250" w:type="dxa"/>
            <w:vAlign w:val="center"/>
          </w:tcPr>
          <w:p>
            <w:pPr>
              <w:spacing w:before="40" w:after="40"/>
              <w:jc w:val="center"/>
            </w:pPr>
            <w:r>
              <w:rPr>
                <w:color w:val="4a5568"/>
                <w:sz w:val="20"/>
              </w:rPr>
              <w:t xml:space="preserve">32×32×256</w:t>
            </w:r>
          </w:p>
        </w:tc>
        <w:tc>
          <w:tcPr>
            <w:tcW w:w="2250" w:type="dxa"/>
            <w:vAlign w:val="center"/>
          </w:tcPr>
          <w:p>
            <w:pPr>
              <w:spacing w:before="40" w:after="40"/>
              <w:jc w:val="center"/>
            </w:pPr>
            <w:r>
              <w:rPr>
                <w:color w:val="4a5568"/>
                <w:sz w:val="20"/>
              </w:rPr>
              <w:t xml:space="preserve">64×64×128</w:t>
            </w:r>
          </w:p>
        </w:tc>
        <w:tc>
          <w:tcPr>
            <w:tcW w:w="2250" w:type="dxa"/>
            <w:vAlign w:val="center"/>
          </w:tcPr>
          <w:p>
            <w:pPr>
              <w:spacing w:before="40" w:after="40"/>
              <w:jc w:val="center"/>
            </w:pPr>
            <w:r>
              <w:rPr>
                <w:color w:val="4a5568"/>
                <w:sz w:val="20"/>
              </w:rPr>
              <w:t xml:space="preserve">UpBlock</w:t>
            </w:r>
          </w:p>
        </w:tc>
      </w:tr>
      <w:tr>
        <w:tc>
          <w:tcPr>
            <w:tcW w:w="2250" w:type="dxa"/>
            <w:vAlign w:val="center"/>
          </w:tcPr>
          <w:p>
            <w:pPr>
              <w:spacing w:before="40" w:after="40"/>
              <w:jc w:val="center"/>
            </w:pPr>
            <w:r>
              <w:rPr>
                <w:color w:val="4a5568"/>
                <w:sz w:val="20"/>
              </w:rPr>
              <w:t xml:space="preserve">Decoder ConvBlock 2</w:t>
            </w:r>
          </w:p>
        </w:tc>
        <w:tc>
          <w:tcPr>
            <w:tcW w:w="2250" w:type="dxa"/>
            <w:vAlign w:val="center"/>
          </w:tcPr>
          <w:p>
            <w:pPr>
              <w:spacing w:before="40" w:after="40"/>
              <w:jc w:val="center"/>
            </w:pPr>
            <w:r>
              <w:rPr>
                <w:color w:val="4a5568"/>
                <w:sz w:val="20"/>
              </w:rPr>
              <w:t xml:space="preserve">64×64×128</w:t>
            </w:r>
          </w:p>
        </w:tc>
        <w:tc>
          <w:tcPr>
            <w:tcW w:w="2250" w:type="dxa"/>
            <w:vAlign w:val="center"/>
          </w:tcPr>
          <w:p>
            <w:pPr>
              <w:spacing w:before="40" w:after="40"/>
              <w:jc w:val="center"/>
            </w:pPr>
            <w:r>
              <w:rPr>
                <w:color w:val="4a5568"/>
                <w:sz w:val="20"/>
              </w:rPr>
              <w:t xml:space="preserve">64×64×128</w:t>
            </w:r>
          </w:p>
        </w:tc>
        <w:tc>
          <w:tcPr>
            <w:tcW w:w="2250" w:type="dxa"/>
            <w:vAlign w:val="center"/>
          </w:tcPr>
          <w:p>
            <w:pPr>
              <w:spacing w:before="40" w:after="40"/>
              <w:jc w:val="center"/>
            </w:pPr>
            <w:r>
              <w:rPr>
                <w:color w:val="4a5568"/>
                <w:sz w:val="20"/>
              </w:rPr>
              <w:t xml:space="preserve">ConvBlock</w:t>
            </w:r>
          </w:p>
        </w:tc>
      </w:tr>
      <w:tr>
        <w:tc>
          <w:tcPr>
            <w:tcW w:w="2250" w:type="dxa"/>
            <w:vAlign w:val="center"/>
          </w:tcPr>
          <w:p>
            <w:pPr>
              <w:spacing w:before="40" w:after="40"/>
              <w:jc w:val="center"/>
            </w:pPr>
            <w:r>
              <w:rPr>
                <w:color w:val="4a5568"/>
                <w:sz w:val="20"/>
              </w:rPr>
              <w:t xml:space="preserve">Decoder UpBlock 3</w:t>
            </w:r>
          </w:p>
        </w:tc>
        <w:tc>
          <w:tcPr>
            <w:tcW w:w="2250" w:type="dxa"/>
            <w:vAlign w:val="center"/>
          </w:tcPr>
          <w:p>
            <w:pPr>
              <w:spacing w:before="40" w:after="40"/>
              <w:jc w:val="center"/>
            </w:pPr>
            <w:r>
              <w:rPr>
                <w:color w:val="4a5568"/>
                <w:sz w:val="20"/>
              </w:rPr>
              <w:t xml:space="preserve">64×64×128</w:t>
            </w:r>
          </w:p>
        </w:tc>
        <w:tc>
          <w:tcPr>
            <w:tcW w:w="2250" w:type="dxa"/>
            <w:vAlign w:val="center"/>
          </w:tcPr>
          <w:p>
            <w:pPr>
              <w:spacing w:before="40" w:after="40"/>
              <w:jc w:val="center"/>
            </w:pPr>
            <w:r>
              <w:rPr>
                <w:color w:val="4a5568"/>
                <w:sz w:val="20"/>
              </w:rPr>
              <w:t xml:space="preserve">128×128×64</w:t>
            </w:r>
          </w:p>
        </w:tc>
        <w:tc>
          <w:tcPr>
            <w:tcW w:w="2250" w:type="dxa"/>
            <w:vAlign w:val="center"/>
          </w:tcPr>
          <w:p>
            <w:pPr>
              <w:spacing w:before="40" w:after="40"/>
              <w:jc w:val="center"/>
            </w:pPr>
            <w:r>
              <w:rPr>
                <w:color w:val="4a5568"/>
                <w:sz w:val="20"/>
              </w:rPr>
              <w:t xml:space="preserve">UpBlock</w:t>
            </w:r>
          </w:p>
        </w:tc>
      </w:tr>
      <w:tr>
        <w:tc>
          <w:tcPr>
            <w:tcW w:w="2250" w:type="dxa"/>
            <w:vAlign w:val="center"/>
          </w:tcPr>
          <w:p>
            <w:pPr>
              <w:spacing w:before="40" w:after="40"/>
              <w:jc w:val="center"/>
            </w:pPr>
            <w:r>
              <w:rPr>
                <w:color w:val="4a5568"/>
                <w:sz w:val="20"/>
              </w:rPr>
              <w:t xml:space="preserve">Decoder ConvBlock 3</w:t>
            </w:r>
          </w:p>
        </w:tc>
        <w:tc>
          <w:tcPr>
            <w:tcW w:w="2250" w:type="dxa"/>
            <w:vAlign w:val="center"/>
          </w:tcPr>
          <w:p>
            <w:pPr>
              <w:spacing w:before="40" w:after="40"/>
              <w:jc w:val="center"/>
            </w:pPr>
            <w:r>
              <w:rPr>
                <w:color w:val="4a5568"/>
                <w:sz w:val="20"/>
              </w:rPr>
              <w:t xml:space="preserve">128×128×64</w:t>
            </w:r>
          </w:p>
        </w:tc>
        <w:tc>
          <w:tcPr>
            <w:tcW w:w="2250" w:type="dxa"/>
            <w:vAlign w:val="center"/>
          </w:tcPr>
          <w:p>
            <w:pPr>
              <w:spacing w:before="40" w:after="40"/>
              <w:jc w:val="center"/>
            </w:pPr>
            <w:r>
              <w:rPr>
                <w:color w:val="4a5568"/>
                <w:sz w:val="20"/>
              </w:rPr>
              <w:t xml:space="preserve">128×128×64</w:t>
            </w:r>
          </w:p>
        </w:tc>
        <w:tc>
          <w:tcPr>
            <w:tcW w:w="2250" w:type="dxa"/>
            <w:vAlign w:val="center"/>
          </w:tcPr>
          <w:p>
            <w:pPr>
              <w:spacing w:before="40" w:after="40"/>
              <w:jc w:val="center"/>
            </w:pPr>
            <w:r>
              <w:rPr>
                <w:color w:val="4a5568"/>
                <w:sz w:val="20"/>
              </w:rPr>
              <w:t xml:space="preserve">ConvBlock</w:t>
            </w:r>
          </w:p>
        </w:tc>
      </w:tr>
      <w:tr>
        <w:tc>
          <w:tcPr>
            <w:tcW w:w="2250" w:type="dxa"/>
            <w:vAlign w:val="center"/>
          </w:tcPr>
          <w:p>
            <w:pPr>
              <w:spacing w:before="40" w:after="40"/>
              <w:jc w:val="center"/>
            </w:pPr>
            <w:r>
              <w:rPr>
                <w:color w:val="4a5568"/>
                <w:sz w:val="20"/>
              </w:rPr>
              <w:t xml:space="preserve">Decoder UpBlock 4</w:t>
            </w:r>
          </w:p>
        </w:tc>
        <w:tc>
          <w:tcPr>
            <w:tcW w:w="2250" w:type="dxa"/>
            <w:vAlign w:val="center"/>
          </w:tcPr>
          <w:p>
            <w:pPr>
              <w:spacing w:before="40" w:after="40"/>
              <w:jc w:val="center"/>
            </w:pPr>
            <w:r>
              <w:rPr>
                <w:color w:val="4a5568"/>
                <w:sz w:val="20"/>
              </w:rPr>
              <w:t xml:space="preserve">128×128×64</w:t>
            </w:r>
          </w:p>
        </w:tc>
        <w:tc>
          <w:tcPr>
            <w:tcW w:w="2250" w:type="dxa"/>
            <w:vAlign w:val="center"/>
          </w:tcPr>
          <w:p>
            <w:pPr>
              <w:spacing w:before="40" w:after="40"/>
              <w:jc w:val="center"/>
            </w:pPr>
            <w:r>
              <w:rPr>
                <w:color w:val="4a5568"/>
                <w:sz w:val="20"/>
              </w:rPr>
              <w:t xml:space="preserve">256×256×32</w:t>
            </w:r>
          </w:p>
        </w:tc>
        <w:tc>
          <w:tcPr>
            <w:tcW w:w="2250" w:type="dxa"/>
            <w:vAlign w:val="center"/>
          </w:tcPr>
          <w:p>
            <w:pPr>
              <w:spacing w:before="40" w:after="40"/>
              <w:jc w:val="center"/>
            </w:pPr>
            <w:r>
              <w:rPr>
                <w:color w:val="4a5568"/>
                <w:sz w:val="20"/>
              </w:rPr>
              <w:t xml:space="preserve">UpBlock</w:t>
            </w:r>
          </w:p>
        </w:tc>
      </w:tr>
      <w:tr>
        <w:tc>
          <w:tcPr>
            <w:tcW w:w="2250" w:type="dxa"/>
            <w:vAlign w:val="center"/>
          </w:tcPr>
          <w:p>
            <w:pPr>
              <w:spacing w:before="40" w:after="40"/>
              <w:jc w:val="center"/>
            </w:pPr>
            <w:r>
              <w:rPr>
                <w:color w:val="4a5568"/>
                <w:sz w:val="20"/>
              </w:rPr>
              <w:t xml:space="preserve">Decoder ConvBlock 4</w:t>
            </w:r>
          </w:p>
        </w:tc>
        <w:tc>
          <w:tcPr>
            <w:tcW w:w="2250" w:type="dxa"/>
            <w:vAlign w:val="center"/>
          </w:tcPr>
          <w:p>
            <w:pPr>
              <w:spacing w:before="40" w:after="40"/>
              <w:jc w:val="center"/>
            </w:pPr>
            <w:r>
              <w:rPr>
                <w:color w:val="4a5568"/>
                <w:sz w:val="20"/>
              </w:rPr>
              <w:t xml:space="preserve">256×256×32</w:t>
            </w:r>
          </w:p>
        </w:tc>
        <w:tc>
          <w:tcPr>
            <w:tcW w:w="2250" w:type="dxa"/>
            <w:vAlign w:val="center"/>
          </w:tcPr>
          <w:p>
            <w:pPr>
              <w:spacing w:before="40" w:after="40"/>
              <w:jc w:val="center"/>
            </w:pPr>
            <w:r>
              <w:rPr>
                <w:color w:val="4a5568"/>
                <w:sz w:val="20"/>
              </w:rPr>
              <w:t xml:space="preserve">256×256×32</w:t>
            </w:r>
          </w:p>
        </w:tc>
        <w:tc>
          <w:tcPr>
            <w:tcW w:w="2250" w:type="dxa"/>
            <w:vAlign w:val="center"/>
          </w:tcPr>
          <w:p>
            <w:pPr>
              <w:spacing w:before="40" w:after="40"/>
              <w:jc w:val="center"/>
            </w:pPr>
            <w:r>
              <w:rPr>
                <w:color w:val="4a5568"/>
                <w:sz w:val="20"/>
              </w:rPr>
              <w:t xml:space="preserve">ConvBlock</w:t>
            </w:r>
          </w:p>
        </w:tc>
      </w:tr>
      <w:tr>
        <w:tc>
          <w:tcPr>
            <w:tcW w:w="2250" w:type="dxa"/>
            <w:vAlign w:val="center"/>
          </w:tcPr>
          <w:p>
            <w:pPr>
              <w:spacing w:before="40" w:after="40"/>
              <w:jc w:val="center"/>
            </w:pPr>
            <w:r>
              <w:rPr>
                <w:color w:val="4a5568"/>
                <w:sz w:val="20"/>
              </w:rPr>
              <w:t xml:space="preserve">Output Conv + Sigmoid</w:t>
            </w:r>
          </w:p>
        </w:tc>
        <w:tc>
          <w:tcPr>
            <w:tcW w:w="2250" w:type="dxa"/>
            <w:vAlign w:val="center"/>
          </w:tcPr>
          <w:p>
            <w:pPr>
              <w:spacing w:before="40" w:after="40"/>
              <w:jc w:val="center"/>
            </w:pPr>
            <w:r>
              <w:rPr>
                <w:color w:val="4a5568"/>
                <w:sz w:val="20"/>
              </w:rPr>
              <w:t xml:space="preserve">256×256×32</w:t>
            </w:r>
          </w:p>
        </w:tc>
        <w:tc>
          <w:tcPr>
            <w:tcW w:w="2250" w:type="dxa"/>
            <w:vAlign w:val="center"/>
          </w:tcPr>
          <w:p>
            <w:pPr>
              <w:spacing w:before="40" w:after="40"/>
              <w:jc w:val="center"/>
            </w:pPr>
            <w:r>
              <w:rPr>
                <w:color w:val="4a5568"/>
                <w:sz w:val="20"/>
              </w:rPr>
              <w:t xml:space="preserve">256×256×3</w:t>
            </w:r>
          </w:p>
        </w:tc>
        <w:tc>
          <w:tcPr>
            <w:tcW w:w="2250" w:type="dxa"/>
            <w:vAlign w:val="center"/>
          </w:tcPr>
          <w:p>
            <w:pPr>
              <w:spacing w:before="40" w:after="40"/>
              <w:jc w:val="center"/>
            </w:pPr>
            <w:r>
              <w:rPr>
                <w:color w:val="4a5568"/>
                <w:sz w:val="20"/>
              </w:rPr>
              <w:t xml:space="preserve">1×1 Conv + Sigmoid</w:t>
            </w:r>
          </w:p>
        </w:tc>
      </w:tr>
    </w:tbl>
    <w:p>
      <w:pPr>
        <w:pStyle w:val="Normal"/>
      </w:pPr>
      <w:r>
        <w:t xml:space="preserve">Total parameters: 4,106,883. Bottleneck compression: 3.0× (196,608 → 65,536 values).</w:t>
      </w:r>
    </w:p>
    <w:p>
      <w:pPr>
        <w:pStyle w:val="Heading2"/>
      </w:pPr>
      <w:r>
        <w:t>A.2 Terminology</w:t>
      </w:r>
    </w:p>
    <w:tbl>
      <w:tblPr>
        <w:tblW w:w="5000" w:type="pct"/>
        <w:tblBorders>
          <w:top w:val="single" w:color="1a365d" w:sz="12"/>
          <w:left w:val="nil"/>
          <w:bottom w:val="single" w:color="1a365d" w:sz="12"/>
          <w:right w:val="nil"/>
          <w:insideH w:val="single" w:color="e2e8f0" w:sz="4"/>
          <w:insideV w:val="nil"/>
        </w:tblBorders>
      </w:tblPr>
      <w:tblGrid>
        <w:gridCol w:w="4500"/>
        <w:gridCol w:w="4500"/>
      </w:tblGrid>
      <w:tr>
        <w:trPr>
          <w:tblHeader/>
        </w:trPr>
        <w:tc>
          <w:tcPr>
            <w:tcW w:w="4500" w:type="dxa"/>
            <w:shd w:val="clear" w:fill="edf2f7"/>
            <w:vAlign w:val="center"/>
          </w:tcPr>
          <w:p>
            <w:pPr>
              <w:spacing w:before="60" w:after="60"/>
              <w:jc w:val="center"/>
            </w:pPr>
            <w:r>
              <w:rPr>
                <w:b/>
                <w:color w:val="1a202c"/>
                <w:sz w:val="20"/>
              </w:rPr>
              <w:t>Term</w:t>
            </w:r>
          </w:p>
        </w:tc>
        <w:tc>
          <w:tcPr>
            <w:tcW w:w="4500" w:type="dxa"/>
            <w:shd w:val="clear" w:fill="edf2f7"/>
            <w:vAlign w:val="center"/>
          </w:tcPr>
          <w:p>
            <w:pPr>
              <w:spacing w:before="60" w:after="60"/>
              <w:jc w:val="center"/>
            </w:pPr>
            <w:r>
              <w:rPr>
                <w:b/>
                <w:color w:val="1a202c"/>
                <w:sz w:val="20"/>
              </w:rPr>
              <w:t>Definition</w:t>
            </w:r>
          </w:p>
        </w:tc>
      </w:tr>
      <w:tr>
        <w:tc>
          <w:tcPr>
            <w:tcW w:w="4500" w:type="dxa"/>
            <w:vAlign w:val="center"/>
          </w:tcPr>
          <w:p>
            <w:pPr>
              <w:spacing w:before="40" w:after="40"/>
              <w:jc w:val="center"/>
            </w:pPr>
            <w:r>
              <w:rPr>
                <w:color w:val="4a5568"/>
                <w:sz w:val="20"/>
              </w:rPr>
              <w:t xml:space="preserve">UAV</w:t>
            </w:r>
          </w:p>
        </w:tc>
        <w:tc>
          <w:tcPr>
            <w:tcW w:w="4500" w:type="dxa"/>
            <w:vAlign w:val="center"/>
          </w:tcPr>
          <w:p>
            <w:pPr>
              <w:spacing w:before="40" w:after="40"/>
              <w:jc w:val="center"/>
            </w:pPr>
            <w:r>
              <w:rPr>
                <w:color w:val="4a5568"/>
                <w:sz w:val="20"/>
              </w:rPr>
              <w:t xml:space="preserve">Unmanned Aerial Vehicle — remotely or autonomously piloted aircraft</w:t>
            </w:r>
          </w:p>
        </w:tc>
      </w:tr>
      <w:tr>
        <w:tc>
          <w:tcPr>
            <w:tcW w:w="4500" w:type="dxa"/>
            <w:vAlign w:val="center"/>
          </w:tcPr>
          <w:p>
            <w:pPr>
              <w:spacing w:before="40" w:after="40"/>
              <w:jc w:val="center"/>
            </w:pPr>
            <w:r>
              <w:rPr>
                <w:color w:val="4a5568"/>
                <w:sz w:val="20"/>
              </w:rPr>
              <w:t xml:space="preserve">IR / Thermal IR</w:t>
            </w:r>
          </w:p>
        </w:tc>
        <w:tc>
          <w:tcPr>
            <w:tcW w:w="4500" w:type="dxa"/>
            <w:vAlign w:val="center"/>
          </w:tcPr>
          <w:p>
            <w:pPr>
              <w:spacing w:before="40" w:after="40"/>
              <w:jc w:val="center"/>
            </w:pPr>
            <w:r>
              <w:rPr>
                <w:color w:val="4a5568"/>
                <w:sz w:val="20"/>
              </w:rPr>
              <w:t xml:space="preserve">Infrared thermal imaging capturing heat emission from objects</w:t>
            </w:r>
          </w:p>
        </w:tc>
      </w:tr>
      <w:tr>
        <w:tc>
          <w:tcPr>
            <w:tcW w:w="4500" w:type="dxa"/>
            <w:vAlign w:val="center"/>
          </w:tcPr>
          <w:p>
            <w:pPr>
              <w:spacing w:before="40" w:after="40"/>
              <w:jc w:val="center"/>
            </w:pPr>
            <w:r>
              <w:rPr>
                <w:color w:val="4a5568"/>
                <w:sz w:val="20"/>
              </w:rPr>
              <w:t xml:space="preserve">RGB</w:t>
            </w:r>
          </w:p>
        </w:tc>
        <w:tc>
          <w:tcPr>
            <w:tcW w:w="4500" w:type="dxa"/>
            <w:vAlign w:val="center"/>
          </w:tcPr>
          <w:p>
            <w:pPr>
              <w:spacing w:before="40" w:after="40"/>
              <w:jc w:val="center"/>
            </w:pPr>
            <w:r>
              <w:rPr>
                <w:color w:val="4a5568"/>
                <w:sz w:val="20"/>
              </w:rPr>
              <w:t xml:space="preserve">Red-Green-Blue optical camera capturing visible-light images</w:t>
            </w:r>
          </w:p>
        </w:tc>
      </w:tr>
      <w:tr>
        <w:tc>
          <w:tcPr>
            <w:tcW w:w="4500" w:type="dxa"/>
            <w:vAlign w:val="center"/>
          </w:tcPr>
          <w:p>
            <w:pPr>
              <w:spacing w:before="40" w:after="40"/>
              <w:jc w:val="center"/>
            </w:pPr>
            <w:r>
              <w:rPr>
                <w:color w:val="4a5568"/>
                <w:sz w:val="20"/>
              </w:rPr>
              <w:t xml:space="preserve">Autoencoder</w:t>
            </w:r>
          </w:p>
        </w:tc>
        <w:tc>
          <w:tcPr>
            <w:tcW w:w="4500" w:type="dxa"/>
            <w:vAlign w:val="center"/>
          </w:tcPr>
          <w:p>
            <w:pPr>
              <w:spacing w:before="40" w:after="40"/>
              <w:jc w:val="center"/>
            </w:pPr>
            <w:r>
              <w:rPr>
                <w:color w:val="4a5568"/>
                <w:sz w:val="20"/>
              </w:rPr>
              <w:t xml:space="preserve">Neural network trained to compress and reconstruct input; reconstruction error signals anomalies</w:t>
            </w:r>
          </w:p>
        </w:tc>
      </w:tr>
      <w:tr>
        <w:tc>
          <w:tcPr>
            <w:tcW w:w="4500" w:type="dxa"/>
            <w:vAlign w:val="center"/>
          </w:tcPr>
          <w:p>
            <w:pPr>
              <w:spacing w:before="40" w:after="40"/>
              <w:jc w:val="center"/>
            </w:pPr>
            <w:r>
              <w:rPr>
                <w:color w:val="4a5568"/>
                <w:sz w:val="20"/>
              </w:rPr>
              <w:t xml:space="preserve">mAP@0.5</w:t>
            </w:r>
          </w:p>
        </w:tc>
        <w:tc>
          <w:tcPr>
            <w:tcW w:w="4500" w:type="dxa"/>
            <w:vAlign w:val="center"/>
          </w:tcPr>
          <w:p>
            <w:pPr>
              <w:spacing w:before="40" w:after="40"/>
              <w:jc w:val="center"/>
            </w:pPr>
            <w:r>
              <w:rPr>
                <w:color w:val="4a5568"/>
                <w:sz w:val="20"/>
              </w:rPr>
              <w:t xml:space="preserve">Mean Average Precision at IoU threshold 0.5 — standard object detection metric</w:t>
            </w:r>
          </w:p>
        </w:tc>
      </w:tr>
      <w:tr>
        <w:tc>
          <w:tcPr>
            <w:tcW w:w="4500" w:type="dxa"/>
            <w:vAlign w:val="center"/>
          </w:tcPr>
          <w:p>
            <w:pPr>
              <w:spacing w:before="40" w:after="40"/>
              <w:jc w:val="center"/>
            </w:pPr>
            <w:r>
              <w:rPr>
                <w:color w:val="4a5568"/>
                <w:sz w:val="20"/>
              </w:rPr>
              <w:t xml:space="preserve">mAP@0.5–0.95</w:t>
            </w:r>
          </w:p>
        </w:tc>
        <w:tc>
          <w:tcPr>
            <w:tcW w:w="4500" w:type="dxa"/>
            <w:vAlign w:val="center"/>
          </w:tcPr>
          <w:p>
            <w:pPr>
              <w:spacing w:before="40" w:after="40"/>
              <w:jc w:val="center"/>
            </w:pPr>
            <w:r>
              <w:rPr>
                <w:color w:val="4a5568"/>
                <w:sz w:val="20"/>
              </w:rPr>
              <w:t xml:space="preserve">Mean AP averaged over IoU thresholds from 0.5 to 0.95 in steps of 0.05</w:t>
            </w:r>
          </w:p>
        </w:tc>
      </w:tr>
      <w:tr>
        <w:tc>
          <w:tcPr>
            <w:tcW w:w="4500" w:type="dxa"/>
            <w:vAlign w:val="center"/>
          </w:tcPr>
          <w:p>
            <w:pPr>
              <w:spacing w:before="40" w:after="40"/>
              <w:jc w:val="center"/>
            </w:pPr>
            <w:r>
              <w:rPr>
                <w:color w:val="4a5568"/>
                <w:sz w:val="20"/>
              </w:rPr>
              <w:t xml:space="preserve">ROC AUC</w:t>
            </w:r>
          </w:p>
        </w:tc>
        <w:tc>
          <w:tcPr>
            <w:tcW w:w="4500" w:type="dxa"/>
            <w:vAlign w:val="center"/>
          </w:tcPr>
          <w:p>
            <w:pPr>
              <w:spacing w:before="40" w:after="40"/>
              <w:jc w:val="center"/>
            </w:pPr>
            <w:r>
              <w:rPr>
                <w:color w:val="4a5568"/>
                <w:sz w:val="20"/>
              </w:rPr>
              <w:t xml:space="preserve">Area Under the Receiver Operating Characteristic curve; measures binary classifier performance</w:t>
            </w:r>
          </w:p>
        </w:tc>
      </w:tr>
      <w:tr>
        <w:tc>
          <w:tcPr>
            <w:tcW w:w="4500" w:type="dxa"/>
            <w:vAlign w:val="center"/>
          </w:tcPr>
          <w:p>
            <w:pPr>
              <w:spacing w:before="40" w:after="40"/>
              <w:jc w:val="center"/>
            </w:pPr>
            <w:r>
              <w:rPr>
                <w:color w:val="4a5568"/>
                <w:sz w:val="20"/>
              </w:rPr>
              <w:t xml:space="preserve">Youden's J</w:t>
            </w:r>
          </w:p>
        </w:tc>
        <w:tc>
          <w:tcPr>
            <w:tcW w:w="4500" w:type="dxa"/>
            <w:vAlign w:val="center"/>
          </w:tcPr>
          <w:p>
            <w:pPr>
              <w:spacing w:before="40" w:after="40"/>
              <w:jc w:val="center"/>
            </w:pPr>
            <w:r>
              <w:rPr>
                <w:color w:val="4a5568"/>
                <w:sz w:val="20"/>
              </w:rPr>
              <w:t xml:space="preserve">TPR − FPR; statistic used to select the optimal classification threshold on the ROC curve</w:t>
            </w:r>
          </w:p>
        </w:tc>
      </w:tr>
      <w:tr>
        <w:tc>
          <w:tcPr>
            <w:tcW w:w="4500" w:type="dxa"/>
            <w:vAlign w:val="center"/>
          </w:tcPr>
          <w:p>
            <w:pPr>
              <w:spacing w:before="40" w:after="40"/>
              <w:jc w:val="center"/>
            </w:pPr>
            <w:r>
              <w:rPr>
                <w:color w:val="4a5568"/>
                <w:sz w:val="20"/>
              </w:rPr>
              <w:t xml:space="preserve">IoU</w:t>
            </w:r>
          </w:p>
        </w:tc>
        <w:tc>
          <w:tcPr>
            <w:tcW w:w="4500" w:type="dxa"/>
            <w:vAlign w:val="center"/>
          </w:tcPr>
          <w:p>
            <w:pPr>
              <w:spacing w:before="40" w:after="40"/>
              <w:jc w:val="center"/>
            </w:pPr>
            <w:r>
              <w:rPr>
                <w:color w:val="4a5568"/>
                <w:sz w:val="20"/>
              </w:rPr>
              <w:t xml:space="preserve">Intersection over Union — ratio of overlap between predicted and ground-truth bounding boxes</w:t>
            </w:r>
          </w:p>
        </w:tc>
      </w:tr>
      <w:tr>
        <w:tc>
          <w:tcPr>
            <w:tcW w:w="4500" w:type="dxa"/>
            <w:vAlign w:val="center"/>
          </w:tcPr>
          <w:p>
            <w:pPr>
              <w:spacing w:before="40" w:after="40"/>
              <w:jc w:val="center"/>
            </w:pPr>
            <w:r>
              <w:rPr>
                <w:color w:val="4a5568"/>
                <w:sz w:val="20"/>
              </w:rPr>
              <w:t xml:space="preserve">YOLO</w:t>
            </w:r>
          </w:p>
        </w:tc>
        <w:tc>
          <w:tcPr>
            <w:tcW w:w="4500" w:type="dxa"/>
            <w:vAlign w:val="center"/>
          </w:tcPr>
          <w:p>
            <w:pPr>
              <w:spacing w:before="40" w:after="40"/>
              <w:jc w:val="center"/>
            </w:pPr>
            <w:r>
              <w:rPr>
                <w:color w:val="4a5568"/>
                <w:sz w:val="20"/>
              </w:rPr>
              <w:t xml:space="preserve">You Only Look Once — family of real-time single-stage object detectors</w:t>
            </w:r>
          </w:p>
        </w:tc>
      </w:tr>
      <w:tr>
        <w:tc>
          <w:tcPr>
            <w:tcW w:w="4500" w:type="dxa"/>
            <w:vAlign w:val="center"/>
          </w:tcPr>
          <w:p>
            <w:pPr>
              <w:spacing w:before="40" w:after="40"/>
              <w:jc w:val="center"/>
            </w:pPr>
            <w:r>
              <w:rPr>
                <w:color w:val="4a5568"/>
                <w:sz w:val="20"/>
              </w:rPr>
              <w:t xml:space="preserve">Pseudo-labels</w:t>
            </w:r>
          </w:p>
        </w:tc>
        <w:tc>
          <w:tcPr>
            <w:tcW w:w="4500" w:type="dxa"/>
            <w:vAlign w:val="center"/>
          </w:tcPr>
          <w:p>
            <w:pPr>
              <w:spacing w:before="40" w:after="40"/>
              <w:jc w:val="center"/>
            </w:pPr>
            <w:r>
              <w:rPr>
                <w:color w:val="4a5568"/>
                <w:sz w:val="20"/>
              </w:rPr>
              <w:t xml:space="preserve">Automatically generated annotations used as training targets in the absence of human labels</w:t>
            </w:r>
          </w:p>
        </w:tc>
      </w:tr>
      <w:tr>
        <w:tc>
          <w:tcPr>
            <w:tcW w:w="4500" w:type="dxa"/>
            <w:vAlign w:val="center"/>
          </w:tcPr>
          <w:p>
            <w:pPr>
              <w:spacing w:before="40" w:after="40"/>
              <w:jc w:val="center"/>
            </w:pPr>
            <w:r>
              <w:rPr>
                <w:color w:val="4a5568"/>
                <w:sz w:val="20"/>
              </w:rPr>
              <w:t xml:space="preserve">FLAME-2</w:t>
            </w:r>
          </w:p>
        </w:tc>
        <w:tc>
          <w:tcPr>
            <w:tcW w:w="4500" w:type="dxa"/>
            <w:vAlign w:val="center"/>
          </w:tcPr>
          <w:p>
            <w:pPr>
              <w:spacing w:before="40" w:after="40"/>
              <w:jc w:val="center"/>
            </w:pPr>
            <w:r>
              <w:rPr>
                <w:color w:val="4a5568"/>
                <w:sz w:val="20"/>
              </w:rPr>
              <w:t xml:space="preserve">Fire detection and modeLing: Aerial Multi-spectral imagE dataset (IEEE DataPort, 2023)</w:t>
            </w:r>
          </w:p>
        </w:tc>
      </w:tr>
      <w:tr>
        <w:tc>
          <w:tcPr>
            <w:tcW w:w="4500" w:type="dxa"/>
            <w:vAlign w:val="center"/>
          </w:tcPr>
          <w:p>
            <w:pPr>
              <w:spacing w:before="40" w:after="40"/>
              <w:jc w:val="center"/>
            </w:pPr>
            <w:r>
              <w:rPr>
                <w:color w:val="4a5568"/>
                <w:sz w:val="20"/>
              </w:rPr>
              <w:t xml:space="preserve">GDL</w:t>
            </w:r>
          </w:p>
        </w:tc>
        <w:tc>
          <w:tcPr>
            <w:tcW w:w="4500" w:type="dxa"/>
            <w:vAlign w:val="center"/>
          </w:tcPr>
          <w:p>
            <w:pPr>
              <w:spacing w:before="40" w:after="40"/>
              <w:jc w:val="center"/>
            </w:pPr>
            <w:r>
              <w:rPr>
                <w:color w:val="4a5568"/>
                <w:sz w:val="20"/>
              </w:rPr>
              <w:t xml:space="preserve">Gradient Difference Loss — penalizes spatial gradient differences between reconstructed and target images</w:t>
            </w:r>
          </w:p>
        </w:tc>
      </w:tr>
      <w:tr>
        <w:tc>
          <w:tcPr>
            <w:tcW w:w="4500" w:type="dxa"/>
            <w:vAlign w:val="center"/>
          </w:tcPr>
          <w:p>
            <w:pPr>
              <w:spacing w:before="40" w:after="40"/>
              <w:jc w:val="center"/>
            </w:pPr>
            <w:r>
              <w:rPr>
                <w:color w:val="4a5568"/>
                <w:sz w:val="20"/>
              </w:rPr>
              <w:t xml:space="preserve">FPS</w:t>
            </w:r>
          </w:p>
        </w:tc>
        <w:tc>
          <w:tcPr>
            <w:tcW w:w="4500" w:type="dxa"/>
            <w:vAlign w:val="center"/>
          </w:tcPr>
          <w:p>
            <w:pPr>
              <w:spacing w:before="40" w:after="40"/>
              <w:jc w:val="center"/>
            </w:pPr>
            <w:r>
              <w:rPr>
                <w:color w:val="4a5568"/>
                <w:sz w:val="20"/>
              </w:rPr>
              <w:t xml:space="preserve">Frames Per Second — a measure of inference throughput</w:t>
            </w:r>
          </w:p>
        </w:tc>
      </w:tr>
      <w:tr>
        <w:tc>
          <w:tcPr>
            <w:tcW w:w="4500" w:type="dxa"/>
            <w:vAlign w:val="center"/>
          </w:tcPr>
          <w:p>
            <w:pPr>
              <w:spacing w:before="40" w:after="40"/>
              <w:jc w:val="center"/>
            </w:pPr>
            <w:r>
              <w:rPr>
                <w:color w:val="4a5568"/>
                <w:sz w:val="20"/>
              </w:rPr>
              <w:t xml:space="preserve">Edge deployment</w:t>
            </w:r>
          </w:p>
        </w:tc>
        <w:tc>
          <w:tcPr>
            <w:tcW w:w="4500" w:type="dxa"/>
            <w:vAlign w:val="center"/>
          </w:tcPr>
          <w:p>
            <w:pPr>
              <w:spacing w:before="40" w:after="40"/>
              <w:jc w:val="center"/>
            </w:pPr>
            <w:r>
              <w:rPr>
                <w:color w:val="4a5568"/>
                <w:sz w:val="20"/>
              </w:rPr>
              <w:t xml:space="preserve">Running a model directly on the device (UAV) rather than sending data to a remote server</w:t>
            </w:r>
          </w:p>
        </w:tc>
      </w:tr>
    </w:tbl>
    <w:p>
      <w:pPr>
        <w:sectPr>
          <w:headerReference w:type="default" r:id="Rb72f6f16148a4227"/>
          <w:footerReference w:type="default" r:id="R11a9e85a2772441b"/>
          <w:pgSz w:w="11906" w:h="16838"/>
          <w:pgMar w:top="1440" w:right="1440" w:bottom="1440" w:left="1440" w:header="720" w:footer="720"/>
        </w:sectPr>
      </w:pPr>
    </w:p>
  </w:body>
</w:document>
</file>

<file path=word/footer1.xml><?xml version="1.0" encoding="utf-8"?>
<w:ftr xmlns:w="http://schemas.openxmlformats.org/wordprocessingml/2006/main">
  <w:p>
    <w:pPr>
      <w:jc w:val="center"/>
    </w:pPr>
    <w:r>
      <w:rPr>
        <w:color w:val="718096"/>
        <w:sz w:val="18"/>
      </w:rPr>
      <w:t xml:space="preserv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color w:val="718096"/>
        <w:sz w:val="18"/>
      </w:rPr>
      <w:t xml:space="preserve"> —</w:t>
    </w:r>
  </w:p>
</w:ftr>
</file>

<file path=word/header1.xml><?xml version="1.0" encoding="utf-8"?>
<w:hdr xmlns:w="http://schemas.openxmlformats.org/wordprocessingml/2006/main">
  <w:p>
    <w:pPr>
      <w:jc w:val="right"/>
    </w:pPr>
    <w:r>
      <w:rPr>
        <w:color w:val="718096"/>
        <w:sz w:val="18"/>
      </w:rPr>
      <w:t>AI-FireGuard | Thermal-RGB Fusion for UAV-Based Wildfire Monitoring</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60" w:lineRule="auto"/>
      <w:jc w:val="both"/>
    </w:pPr>
    <w:rPr>
      <w:rFonts w:ascii="Calibri" w:hAnsi="Calibri" w:eastAsia="Microsoft YaHei"/>
      <w:color w:val="1a202c"/>
      <w:sz w:val="24"/>
    </w:rPr>
  </w:style>
  <w:style w:type="paragraph" w:styleId="Heading1">
    <w:name w:val="heading 1"/>
    <w:basedOn w:val="Normal"/>
    <w:pPr>
      <w:keepNext/>
      <w:keepLines/>
      <w:pageBreakBefore/>
      <w:shd w:val="clear" w:fill="1a365d"/>
      <w:spacing w:before="400" w:after="300"/>
      <w:jc w:val="left"/>
      <w:outlineLvl w:val="0"/>
    </w:pPr>
    <w:rPr>
      <w:rFonts w:ascii="Calibri" w:hAnsi="Calibri" w:eastAsia="Microsoft YaHei"/>
      <w:b/>
      <w:color w:val="ffffff"/>
      <w:sz w:val="40"/>
    </w:rPr>
  </w:style>
  <w:style w:type="paragraph" w:styleId="Heading2">
    <w:name w:val="heading 2"/>
    <w:basedOn w:val="Normal"/>
    <w:pPr>
      <w:keepNext/>
      <w:keepLines/>
      <w:spacing w:before="400" w:after="200"/>
      <w:jc w:val="left"/>
      <w:outlineLvl w:val="1"/>
    </w:pPr>
    <w:rPr>
      <w:rFonts w:ascii="Calibri" w:hAnsi="Calibri" w:eastAsia="Microsoft YaHei"/>
      <w:b/>
      <w:color w:val="2c5282"/>
      <w:sz w:val="32"/>
    </w:rPr>
  </w:style>
  <w:style w:type="paragraph" w:styleId="Heading3">
    <w:name w:val="heading 3"/>
    <w:basedOn w:val="Normal"/>
    <w:pPr>
      <w:keepNext/>
      <w:keepLines/>
      <w:spacing w:before="280" w:after="120"/>
      <w:outlineLvl w:val="2"/>
    </w:pPr>
    <w:rPr>
      <w:rFonts w:ascii="Calibri" w:hAnsi="Calibri" w:eastAsia="Microsoft YaHei"/>
      <w:b/>
      <w:color w:val="319795"/>
      <w:sz w:val="26"/>
    </w:rPr>
  </w:style>
  <w:style w:type="paragraph" w:styleId="Caption">
    <w:name w:val="Caption"/>
    <w:basedOn w:val="Normal"/>
    <w:pPr>
      <w:spacing w:before="80" w:after="300"/>
      <w:jc w:val="center"/>
    </w:pPr>
    <w:rPr>
      <w:i/>
      <w:color w:val="718096"/>
      <w:sz w:val="20"/>
    </w:rPr>
  </w:style>
  <w:style w:type="paragraph" w:styleId="TOC1">
    <w:name w:val="toc 1"/>
    <w:basedOn w:val="Normal"/>
    <w:pPr>
      <w:tabs>
        <w:tab w:val="right" w:leader="dot" w:pos="9350"/>
      </w:tabs>
      <w:spacing w:before="200" w:after="60"/>
      <w:ind w:left="0"/>
    </w:pPr>
    <w:rPr>
      <w:b/>
      <w:color w:val="1a202c"/>
    </w:rPr>
  </w:style>
  <w:style w:type="paragraph" w:styleId="TOC2">
    <w:name w:val="toc 2"/>
    <w:basedOn w:val="Normal"/>
    <w:pPr>
      <w:tabs>
        <w:tab w:val="right" w:leader="dot" w:pos="9350"/>
      </w:tabs>
      <w:spacing w:before="60" w:after="60"/>
      <w:ind w:left="360"/>
    </w:pPr>
    <w:rPr>
      <w:color w:val="4a5568"/>
    </w:rPr>
  </w:style>
  <w:style w:type="paragraph" w:styleId="TOC3">
    <w:name w:val="toc 3"/>
    <w:basedOn w:val="Normal"/>
    <w:pPr>
      <w:tabs>
        <w:tab w:val="right" w:leader="dot" w:pos="9350"/>
      </w:tabs>
      <w:spacing w:before="40" w:after="6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6ee71831edb3412e" /><Relationship Type="http://schemas.openxmlformats.org/officeDocument/2006/relationships/numbering" Target="numbering.xml" Id="Reb9d17d48fd54941" /><Relationship Type="http://schemas.openxmlformats.org/officeDocument/2006/relationships/image" Target="media/image.png" Id="R41f9c0787e9b44ce" /><Relationship Type="http://schemas.openxmlformats.org/officeDocument/2006/relationships/header" Target="header1.xml" Id="Rb72f6f16148a4227" /><Relationship Type="http://schemas.openxmlformats.org/officeDocument/2006/relationships/footer" Target="footer1.xml" Id="R11a9e85a2772441b" /><Relationship Type="http://schemas.openxmlformats.org/officeDocument/2006/relationships/image" Target="media/image2.png" Id="Ra336723f884a44c4" /><Relationship Type="http://schemas.openxmlformats.org/officeDocument/2006/relationships/image" Target="media/image3.png" Id="R6477c89866144cd8" /><Relationship Type="http://schemas.openxmlformats.org/officeDocument/2006/relationships/image" Target="media/image4.png" Id="R63a2d613d8aa4143" /><Relationship Type="http://schemas.openxmlformats.org/officeDocument/2006/relationships/image" Target="media/image5.png" Id="R951795ce8c3c4ffd" /><Relationship Type="http://schemas.openxmlformats.org/officeDocument/2006/relationships/settings" Target="settings.xml" Id="Rde46841af8e74bcb" /></Relationships>
</file>