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COMPTES DÉFINITIFS DE LIQUIDATION</w:t>
      </w:r>
    </w:p>
    <w:p>
      <w:pPr>
        <w:spacing w:after="400"/>
        <w:jc w:val="center"/>
      </w:pPr>
      <w:r>
        <w:rPr>
          <w:b/>
          <w:sz w:val="24"/>
        </w:rPr>
        <w:t xml:space="preserve">ARRÊTÉS AU {{DATE_ARRETE_FR}}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La société {{SOCIETE}} a été dissoute par décision du {{DATE_DISSOLUTION_FR}}. Les comptes ci-après retracent l'ensemble des opérations de liquidation menées depuis cette date.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Réalisation de l'actif</w:t>
      </w:r>
    </w:p>
    <w:p>
      <w:pPr>
        <w:spacing w:after="200"/>
      </w:pPr>
      <w:r>
        <w:t xml:space="preserve">Produit de la réalisation de l'actif : {{ACTIF_REALISE_FORMATE}} euros.</w:t>
      </w:r>
    </w:p>
    <w:p>
      <w:pPr>
        <w:spacing w:after="200"/>
      </w:pPr>
      <w:r>
        <w:t xml:space="preserve">Cette somme comprend la trésorerie disponible à la date de dissolution, le produit de la cession des éléments d'actif et le recouvrement des créances.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Apurement du passif</w:t>
      </w:r>
    </w:p>
    <w:p>
      <w:pPr>
        <w:spacing w:after="200"/>
      </w:pPr>
      <w:r>
        <w:t xml:space="preserve">Passif acquitté : {{PASSIF_APURE_FORMATE}} euros.</w:t>
      </w:r>
    </w:p>
    <w:p>
      <w:pPr>
        <w:spacing w:after="200"/>
      </w:pPr>
      <w:r>
        <w:t xml:space="preserve">{{#IS_FRAIS_LIQUIDATION}}Frais de liquidation : {{FRAIS_LIQUIDATION_FORMATE}} euros. Ils comprennent les annonces légales, les frais de greffe et les honoraires exposés pour les besoins de la liquidation.{{/IS_FRAIS_LIQUIDATION}}</w:t>
      </w:r>
    </w:p>
    <w:p>
      <w:pPr>
        <w:spacing w:after="200"/>
      </w:pPr>
      <w:r>
        <w:t xml:space="preserve">Le liquidateur atteste que l'intégralité du passif connu de la société a été acquittée et qu'aucune dette ne demeure à sa charge.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Résultat de la liquidation</w:t>
      </w:r>
    </w:p>
    <w:p>
      <w:pPr>
        <w:spacing w:after="200"/>
      </w:pPr>
      <w:r>
        <w:t xml:space="preserve">Actif net après apurement du passif : {{ACTIF_NET_FORMATE}} euros.</w:t>
      </w:r>
    </w:p>
    <w:p>
      <w:pPr>
        <w:spacing w:after="200"/>
      </w:pPr>
      <w:r>
        <w:t xml:space="preserve">Capital social remboursé aux associés : {{CAPITAL_REMBOURSE_FORMATE}} euros.</w:t>
      </w:r>
    </w:p>
    <w:p>
      <w:pPr>
        <w:spacing w:after="200"/>
      </w:pPr>
      <w:r>
        <w:t xml:space="preserve">{{#IS_BONI}}Boni de liquidation : {{BONI_FORMATE}} euros.{{/IS_BONI}}{{#IS_MALI}}Mali de liquidation : {{MALI_FORMATE}} euros.{{/IS_MALI}}{{#IS_SOLDE_NUL}}La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supporte le droit de partage de 2,5 % de l'article 746 du code général des impôts, soit {{DROIT_DE_PARTAGE_FORMATE}} euros, acquitté à l'enregistrement de la décision de clôture.{{/IS_DROIT_DE_PARTAGE}}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Les présents comptes sont certifiés conformes et complets par le liquidateur, qui les soumet à l'approbation des associés.</w:t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